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4449E">
      <w:pPr>
        <w:keepNext w:val="0"/>
        <w:keepLines w:val="0"/>
        <w:pageBreakBefore w:val="0"/>
        <w:kinsoku/>
        <w:wordWrap/>
        <w:overflowPunct/>
        <w:topLinePunct w:val="0"/>
        <w:autoSpaceDE/>
        <w:autoSpaceDN/>
        <w:bidi w:val="0"/>
        <w:adjustRightInd/>
        <w:spacing w:line="560" w:lineRule="exact"/>
        <w:jc w:val="left"/>
        <w:textAlignment w:val="auto"/>
        <w:rPr>
          <w:rFonts w:hint="eastAsia" w:ascii="方正小标宋简体" w:hAnsi="方正小标宋简体" w:eastAsia="方正小标宋简体" w:cs="方正小标宋简体"/>
          <w:b w:val="0"/>
          <w:bCs/>
          <w:sz w:val="28"/>
          <w:szCs w:val="28"/>
          <w:lang w:val="en-US" w:eastAsia="zh-CN"/>
        </w:rPr>
      </w:pPr>
      <w:r>
        <w:rPr>
          <w:rFonts w:hint="eastAsia" w:ascii="方正小标宋简体" w:hAnsi="方正小标宋简体" w:eastAsia="方正小标宋简体" w:cs="方正小标宋简体"/>
          <w:b w:val="0"/>
          <w:bCs/>
          <w:sz w:val="28"/>
          <w:szCs w:val="28"/>
          <w:lang w:val="en-US" w:eastAsia="zh-CN"/>
        </w:rPr>
        <w:t>附件1</w:t>
      </w:r>
    </w:p>
    <w:p w14:paraId="41F6B5AE">
      <w:pPr>
        <w:keepNext w:val="0"/>
        <w:keepLines w:val="0"/>
        <w:pageBreakBefore w:val="0"/>
        <w:kinsoku/>
        <w:wordWrap/>
        <w:overflowPunct/>
        <w:topLinePunct w:val="0"/>
        <w:autoSpaceDE/>
        <w:autoSpaceDN/>
        <w:bidi w:val="0"/>
        <w:adjustRightInd/>
        <w:spacing w:line="560" w:lineRule="exact"/>
        <w:jc w:val="left"/>
        <w:textAlignment w:val="auto"/>
        <w:rPr>
          <w:rFonts w:hint="default" w:ascii="方正小标宋简体" w:hAnsi="方正小标宋简体" w:eastAsia="方正小标宋简体" w:cs="方正小标宋简体"/>
          <w:b w:val="0"/>
          <w:bCs/>
          <w:sz w:val="28"/>
          <w:szCs w:val="28"/>
          <w:lang w:val="en-US" w:eastAsia="zh-CN"/>
        </w:rPr>
      </w:pPr>
    </w:p>
    <w:p w14:paraId="460D23F1">
      <w:pPr>
        <w:keepNext w:val="0"/>
        <w:keepLines w:val="0"/>
        <w:pageBreakBefore w:val="0"/>
        <w:kinsoku/>
        <w:wordWrap/>
        <w:overflowPunct/>
        <w:topLinePunct w:val="0"/>
        <w:autoSpaceDE/>
        <w:autoSpaceDN/>
        <w:bidi w:val="0"/>
        <w:adjustRightInd/>
        <w:spacing w:line="560" w:lineRule="exact"/>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44"/>
          <w:szCs w:val="44"/>
        </w:rPr>
        <w:t>202</w:t>
      </w:r>
      <w:r>
        <w:rPr>
          <w:rFonts w:hint="eastAsia" w:ascii="方正小标宋简体" w:hAnsi="方正小标宋简体" w:eastAsia="方正小标宋简体" w:cs="方正小标宋简体"/>
          <w:b w:val="0"/>
          <w:bCs/>
          <w:sz w:val="44"/>
          <w:szCs w:val="44"/>
          <w:lang w:val="en-US" w:eastAsia="zh-CN"/>
        </w:rPr>
        <w:t>5</w:t>
      </w:r>
      <w:r>
        <w:rPr>
          <w:rFonts w:hint="eastAsia" w:ascii="方正小标宋简体" w:hAnsi="方正小标宋简体" w:eastAsia="方正小标宋简体" w:cs="方正小标宋简体"/>
          <w:b w:val="0"/>
          <w:bCs/>
          <w:sz w:val="44"/>
          <w:szCs w:val="44"/>
        </w:rPr>
        <w:t>数字中国创新大赛青少年AI机器人赛道</w:t>
      </w:r>
      <w:r>
        <w:rPr>
          <w:rFonts w:hint="eastAsia" w:ascii="方正小标宋简体" w:hAnsi="方正小标宋简体" w:eastAsia="方正小标宋简体" w:cs="方正小标宋简体"/>
          <w:b w:val="0"/>
          <w:bCs/>
          <w:sz w:val="44"/>
          <w:szCs w:val="44"/>
          <w:lang w:val="en-US" w:eastAsia="zh-CN"/>
        </w:rPr>
        <w:t>机器人任务赛</w:t>
      </w:r>
      <w:r>
        <w:rPr>
          <w:rFonts w:hint="eastAsia" w:ascii="方正小标宋简体" w:hAnsi="方正小标宋简体" w:eastAsia="方正小标宋简体" w:cs="方正小标宋简体"/>
          <w:b w:val="0"/>
          <w:bCs/>
          <w:sz w:val="44"/>
          <w:szCs w:val="44"/>
          <w:lang w:eastAsia="zh-CN"/>
        </w:rPr>
        <w:t>比赛规则</w:t>
      </w:r>
    </w:p>
    <w:p w14:paraId="5F43CB04">
      <w:pPr>
        <w:bidi w:val="0"/>
        <w:spacing w:line="360" w:lineRule="auto"/>
        <w:jc w:val="center"/>
        <w:rPr>
          <w:rFonts w:hint="eastAsia" w:ascii="方正小标宋简体" w:hAnsi="方正小标宋简体" w:eastAsia="方正小标宋简体" w:cs="方正小标宋简体"/>
          <w:b w:val="0"/>
          <w:bCs/>
          <w:sz w:val="36"/>
          <w:szCs w:val="36"/>
          <w:lang w:val="en-US" w:eastAsia="zh-CN"/>
        </w:rPr>
      </w:pPr>
    </w:p>
    <w:p w14:paraId="009FDA6E">
      <w:pPr>
        <w:keepNext w:val="0"/>
        <w:keepLines w:val="0"/>
        <w:pageBreakBefore w:val="0"/>
        <w:widowControl w:val="0"/>
        <w:numPr>
          <w:ilvl w:val="0"/>
          <w:numId w:val="4"/>
        </w:numPr>
        <w:kinsoku/>
        <w:wordWrap/>
        <w:overflowPunct/>
        <w:topLinePunct w:val="0"/>
        <w:autoSpaceDE/>
        <w:autoSpaceDN/>
        <w:bidi w:val="0"/>
        <w:adjustRightInd/>
        <w:snapToGrid/>
        <w:spacing w:line="360" w:lineRule="auto"/>
        <w:jc w:val="left"/>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赛项介绍</w:t>
      </w:r>
    </w:p>
    <w:p w14:paraId="063BE7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b w:val="0"/>
          <w:bCs w:val="0"/>
          <w:color w:val="auto"/>
          <w:kern w:val="0"/>
          <w:sz w:val="22"/>
          <w:szCs w:val="22"/>
          <w:lang w:val="en-US" w:eastAsia="zh-CN"/>
        </w:rPr>
      </w:pPr>
      <w:r>
        <w:rPr>
          <w:rFonts w:hint="eastAsia" w:ascii="仿宋" w:hAnsi="仿宋" w:eastAsia="仿宋" w:cs="仿宋"/>
          <w:b/>
          <w:bCs/>
          <w:color w:val="auto"/>
          <w:kern w:val="0"/>
          <w:sz w:val="22"/>
          <w:szCs w:val="22"/>
          <w:lang w:val="en-US" w:eastAsia="zh-CN"/>
        </w:rPr>
        <w:t>青少年AI机器人赛道-机器人任务赛</w:t>
      </w:r>
      <w:r>
        <w:rPr>
          <w:rFonts w:hint="eastAsia" w:ascii="仿宋" w:hAnsi="仿宋" w:eastAsia="仿宋" w:cs="仿宋"/>
          <w:b w:val="0"/>
          <w:bCs w:val="0"/>
          <w:color w:val="auto"/>
          <w:kern w:val="0"/>
          <w:sz w:val="22"/>
          <w:szCs w:val="22"/>
          <w:lang w:val="en-US" w:eastAsia="zh-CN"/>
        </w:rPr>
        <w:t>是多任务类赛项。该赛项包含自动控制阶段和手动控制阶段，极大地提升了赛项的趣味性和参赛体验，多任务的赛项设计和合作赛制设计</w:t>
      </w:r>
      <w:r>
        <w:rPr>
          <w:rFonts w:hint="eastAsia" w:ascii="仿宋" w:hAnsi="仿宋" w:eastAsia="仿宋" w:cs="仿宋"/>
          <w:color w:val="auto"/>
          <w:kern w:val="0"/>
          <w:sz w:val="22"/>
          <w:szCs w:val="22"/>
          <w:lang w:val="en-US" w:eastAsia="zh-CN"/>
        </w:rPr>
        <w:t>。</w:t>
      </w:r>
      <w:r>
        <w:rPr>
          <w:rFonts w:hint="eastAsia" w:ascii="仿宋" w:hAnsi="仿宋" w:eastAsia="仿宋" w:cs="仿宋"/>
          <w:b w:val="0"/>
          <w:bCs w:val="0"/>
          <w:color w:val="auto"/>
          <w:kern w:val="0"/>
          <w:sz w:val="22"/>
          <w:szCs w:val="22"/>
          <w:lang w:val="en-US" w:eastAsia="zh-CN"/>
        </w:rPr>
        <w:t>充分锻炼参赛选手的逻辑思考能力和策略规划能力，加强队伍成员间沟通协作的能力。</w:t>
      </w:r>
    </w:p>
    <w:p w14:paraId="66AFDE08">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left"/>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bookmarkStart w:id="0" w:name="_Toc8820"/>
      <w:r>
        <w:rPr>
          <w:rFonts w:hint="eastAsia" w:ascii="黑体" w:hAnsi="黑体" w:eastAsia="黑体" w:cs="黑体"/>
          <w:b/>
          <w:bCs/>
          <w:color w:val="000000" w:themeColor="text1"/>
          <w:sz w:val="28"/>
          <w:szCs w:val="28"/>
          <w:lang w:val="en-US" w:eastAsia="zh-CN"/>
          <w14:textFill>
            <w14:solidFill>
              <w14:schemeClr w14:val="tx1"/>
            </w14:solidFill>
          </w14:textFill>
        </w:rPr>
        <w:t>参赛要求</w:t>
      </w:r>
      <w:bookmarkEnd w:id="0"/>
    </w:p>
    <w:p w14:paraId="63B64B83">
      <w:pPr>
        <w:keepNext w:val="0"/>
        <w:keepLines w:val="0"/>
        <w:pageBreakBefore w:val="0"/>
        <w:widowControl/>
        <w:numPr>
          <w:ilvl w:val="-1"/>
          <w:numId w:val="0"/>
        </w:numPr>
        <w:kinsoku/>
        <w:wordWrap/>
        <w:overflowPunct/>
        <w:topLinePunct w:val="0"/>
        <w:autoSpaceDE/>
        <w:autoSpaceDN/>
        <w:bidi w:val="0"/>
        <w:adjustRightInd/>
        <w:snapToGrid/>
        <w:spacing w:line="560" w:lineRule="exact"/>
        <w:ind w:leftChars="0"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人数要求：</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机器人任务赛（小学组、初中组）</w:t>
      </w:r>
      <w:r>
        <w:rPr>
          <w:rFonts w:hint="eastAsia" w:ascii="仿宋" w:hAnsi="仿宋" w:eastAsia="仿宋" w:cs="仿宋"/>
          <w:b w:val="0"/>
          <w:bCs w:val="0"/>
          <w:color w:val="000000" w:themeColor="text1"/>
          <w:kern w:val="0"/>
          <w:sz w:val="22"/>
          <w:szCs w:val="22"/>
          <w14:textFill>
            <w14:solidFill>
              <w14:schemeClr w14:val="tx1"/>
            </w14:solidFill>
          </w14:textFill>
        </w:rPr>
        <w:t>以</w:t>
      </w: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战队</w:t>
      </w:r>
      <w:r>
        <w:rPr>
          <w:rFonts w:hint="eastAsia" w:ascii="仿宋" w:hAnsi="仿宋" w:eastAsia="仿宋" w:cs="仿宋"/>
          <w:b w:val="0"/>
          <w:bCs w:val="0"/>
          <w:color w:val="000000" w:themeColor="text1"/>
          <w:kern w:val="0"/>
          <w:sz w:val="22"/>
          <w:szCs w:val="22"/>
          <w14:textFill>
            <w14:solidFill>
              <w14:schemeClr w14:val="tx1"/>
            </w14:solidFill>
          </w14:textFill>
        </w:rPr>
        <w:t>形式参赛</w:t>
      </w:r>
      <w:r>
        <w:rPr>
          <w:rFonts w:hint="eastAsia" w:ascii="仿宋" w:hAnsi="仿宋" w:eastAsia="仿宋" w:cs="仿宋"/>
          <w:color w:val="000000" w:themeColor="text1"/>
          <w:kern w:val="0"/>
          <w:sz w:val="22"/>
          <w:szCs w:val="22"/>
          <w:lang w:val="en-US" w:eastAsia="zh-CN"/>
          <w14:textFill>
            <w14:solidFill>
              <w14:schemeClr w14:val="tx1"/>
            </w14:solidFill>
          </w14:textFill>
        </w:rPr>
        <w:t>，</w:t>
      </w:r>
      <w:r>
        <w:rPr>
          <w:rFonts w:hint="eastAsia" w:ascii="仿宋" w:hAnsi="仿宋" w:eastAsia="仿宋" w:cs="仿宋"/>
          <w:color w:val="000000" w:themeColor="text1"/>
          <w:kern w:val="0"/>
          <w:sz w:val="22"/>
          <w:szCs w:val="22"/>
          <w14:textFill>
            <w14:solidFill>
              <w14:schemeClr w14:val="tx1"/>
            </w14:solidFill>
          </w14:textFill>
        </w:rPr>
        <w:t>每支队伍由</w:t>
      </w:r>
      <w:r>
        <w:rPr>
          <w:rFonts w:hint="eastAsia" w:ascii="仿宋" w:hAnsi="仿宋" w:eastAsia="仿宋" w:cs="仿宋"/>
          <w:b/>
          <w:bCs/>
          <w:color w:val="FF0000"/>
          <w:kern w:val="0"/>
          <w:sz w:val="22"/>
          <w:szCs w:val="22"/>
          <w:lang w:val="en-US" w:eastAsia="zh-CN"/>
        </w:rPr>
        <w:t>2</w:t>
      </w:r>
      <w:r>
        <w:rPr>
          <w:rFonts w:hint="eastAsia" w:ascii="仿宋" w:hAnsi="仿宋" w:eastAsia="仿宋" w:cs="仿宋"/>
          <w:color w:val="000000" w:themeColor="text1"/>
          <w:kern w:val="0"/>
          <w:sz w:val="22"/>
          <w:szCs w:val="22"/>
          <w14:textFill>
            <w14:solidFill>
              <w14:schemeClr w14:val="tx1"/>
            </w14:solidFill>
          </w14:textFill>
        </w:rPr>
        <w:t>名队员和1名指导教师组成。</w:t>
      </w:r>
      <w:r>
        <w:rPr>
          <w:rFonts w:hint="eastAsia" w:ascii="仿宋" w:hAnsi="仿宋" w:eastAsia="仿宋" w:cs="仿宋"/>
          <w:color w:val="000000" w:themeColor="text1"/>
          <w:kern w:val="0"/>
          <w:sz w:val="22"/>
          <w:szCs w:val="22"/>
          <w:lang w:val="en-US" w:eastAsia="zh-CN"/>
          <w14:textFill>
            <w14:solidFill>
              <w14:schemeClr w14:val="tx1"/>
            </w14:solidFill>
          </w14:textFill>
        </w:rPr>
        <w:t>使用两台机器人分为红蓝方完成比赛。</w:t>
      </w:r>
      <w:r>
        <w:rPr>
          <w:rFonts w:hint="eastAsia" w:ascii="仿宋" w:hAnsi="仿宋" w:eastAsia="仿宋" w:cs="仿宋"/>
          <w:color w:val="000000" w:themeColor="text1"/>
          <w:kern w:val="0"/>
          <w:sz w:val="22"/>
          <w:szCs w:val="22"/>
          <w14:textFill>
            <w14:solidFill>
              <w14:schemeClr w14:val="tx1"/>
            </w14:solidFill>
          </w14:textFill>
        </w:rPr>
        <w:t>参赛</w:t>
      </w:r>
      <w:r>
        <w:rPr>
          <w:rFonts w:hint="eastAsia" w:ascii="仿宋" w:hAnsi="仿宋" w:eastAsia="仿宋" w:cs="仿宋"/>
          <w:color w:val="000000" w:themeColor="text1"/>
          <w:kern w:val="0"/>
          <w:sz w:val="22"/>
          <w:szCs w:val="22"/>
          <w:lang w:val="en-US" w:eastAsia="zh-CN"/>
          <w14:textFill>
            <w14:solidFill>
              <w14:schemeClr w14:val="tx1"/>
            </w14:solidFill>
          </w14:textFill>
        </w:rPr>
        <w:t>队伍</w:t>
      </w:r>
      <w:r>
        <w:rPr>
          <w:rFonts w:hint="eastAsia" w:ascii="仿宋" w:hAnsi="仿宋" w:eastAsia="仿宋" w:cs="仿宋"/>
          <w:color w:val="000000" w:themeColor="text1"/>
          <w:kern w:val="0"/>
          <w:sz w:val="22"/>
          <w:szCs w:val="22"/>
          <w14:textFill>
            <w14:solidFill>
              <w14:schemeClr w14:val="tx1"/>
            </w14:solidFill>
          </w14:textFill>
        </w:rPr>
        <w:t>应由同一学校师生组成。</w:t>
      </w:r>
    </w:p>
    <w:p w14:paraId="0BB4C65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年龄要求：</w:t>
      </w:r>
      <w:r>
        <w:rPr>
          <w:rFonts w:hint="eastAsia" w:ascii="仿宋" w:hAnsi="仿宋" w:eastAsia="仿宋" w:cs="仿宋"/>
          <w:b w:val="0"/>
          <w:color w:val="000000" w:themeColor="text1"/>
          <w:kern w:val="0"/>
          <w:sz w:val="22"/>
          <w:szCs w:val="24"/>
          <w:lang w:val="en-US" w:eastAsia="zh-CN" w:bidi="ar-SA"/>
          <w14:textFill>
            <w14:solidFill>
              <w14:schemeClr w14:val="tx1"/>
            </w14:solidFill>
          </w14:textFill>
        </w:rPr>
        <w:t>参赛对象为福建省义务教育阶段小学学校、初中学校2025年7月前在校学生。</w:t>
      </w:r>
      <w:r>
        <w:rPr>
          <w:rFonts w:hint="eastAsia" w:ascii="仿宋" w:hAnsi="仿宋" w:eastAsia="仿宋" w:cs="仿宋"/>
          <w:color w:val="000000" w:themeColor="text1"/>
          <w:kern w:val="0"/>
          <w:sz w:val="22"/>
          <w:szCs w:val="22"/>
          <w:lang w:val="en-US" w:eastAsia="zh-CN"/>
          <w14:textFill>
            <w14:solidFill>
              <w14:schemeClr w14:val="tx1"/>
            </w14:solidFill>
          </w14:textFill>
        </w:rPr>
        <w:t>指导老师必须年满18周岁。</w:t>
      </w:r>
    </w:p>
    <w:p w14:paraId="66537ABE">
      <w:pPr>
        <w:keepNext w:val="0"/>
        <w:keepLines w:val="0"/>
        <w:pageBreakBefore w:val="0"/>
        <w:kinsoku/>
        <w:wordWrap/>
        <w:overflowPunct/>
        <w:topLinePunct w:val="0"/>
        <w:autoSpaceDE/>
        <w:autoSpaceDN/>
        <w:bidi w:val="0"/>
        <w:adjustRightInd/>
        <w:spacing w:line="560" w:lineRule="exact"/>
        <w:jc w:val="both"/>
        <w:textAlignment w:val="auto"/>
        <w:rPr>
          <w:rFonts w:hint="default" w:ascii="方正小标宋简体" w:hAnsi="方正小标宋简体" w:eastAsia="方正小标宋简体" w:cs="方正小标宋简体"/>
          <w:b w:val="0"/>
          <w:bCs/>
          <w:sz w:val="44"/>
          <w:szCs w:val="44"/>
          <w:lang w:val="en-US" w:eastAsia="zh-CN"/>
        </w:rPr>
      </w:pPr>
    </w:p>
    <w:p w14:paraId="52931EC5">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bookmarkStart w:id="1" w:name="_Toc1167"/>
      <w:r>
        <w:rPr>
          <w:rFonts w:hint="eastAsia" w:ascii="黑体" w:hAnsi="黑体" w:eastAsia="黑体" w:cs="黑体"/>
          <w:b/>
          <w:bCs/>
          <w:color w:val="000000" w:themeColor="text1"/>
          <w:sz w:val="28"/>
          <w:szCs w:val="28"/>
          <w:lang w:val="en-US" w:eastAsia="zh-CN"/>
          <w14:textFill>
            <w14:solidFill>
              <w14:schemeClr w14:val="tx1"/>
            </w14:solidFill>
          </w14:textFill>
        </w:rPr>
        <w:t>赛程赛制</w:t>
      </w:r>
      <w:bookmarkEnd w:id="1"/>
    </w:p>
    <w:p w14:paraId="478612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黑体" w:hAnsi="黑体" w:eastAsia="黑体" w:cs="黑体"/>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28"/>
          <w:szCs w:val="28"/>
          <w:lang w:val="en-US" w:eastAsia="zh-CN"/>
          <w14:textFill>
            <w14:solidFill>
              <w14:schemeClr w14:val="tx1"/>
            </w14:solidFill>
          </w14:textFill>
        </w:rPr>
        <w:t xml:space="preserve"> </w:t>
      </w:r>
      <w:r>
        <w:rPr>
          <w:rFonts w:hint="eastAsia" w:ascii="黑体" w:hAnsi="黑体" w:eastAsia="黑体" w:cs="黑体"/>
          <w:b/>
          <w:bCs/>
          <w:color w:val="000000" w:themeColor="text1"/>
          <w:sz w:val="24"/>
          <w:szCs w:val="24"/>
          <w:lang w:val="en-US" w:eastAsia="zh-CN"/>
          <w14:textFill>
            <w14:solidFill>
              <w14:schemeClr w14:val="tx1"/>
            </w14:solidFill>
          </w14:textFill>
        </w:rPr>
        <w:t xml:space="preserve">   3.1机器人检录</w:t>
      </w:r>
    </w:p>
    <w:p w14:paraId="711EA4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 xml:space="preserve"> </w:t>
      </w:r>
      <w:r>
        <w:rPr>
          <w:rFonts w:hint="eastAsia" w:ascii="仿宋" w:hAnsi="仿宋" w:eastAsia="仿宋" w:cs="仿宋"/>
          <w:color w:val="000000" w:themeColor="text1"/>
          <w:kern w:val="0"/>
          <w:sz w:val="22"/>
          <w:szCs w:val="22"/>
          <w:lang w:val="en-US" w:eastAsia="zh-CN"/>
          <w14:textFill>
            <w14:solidFill>
              <w14:schemeClr w14:val="tx1"/>
            </w14:solidFill>
          </w14:textFill>
        </w:rPr>
        <w:t>检录员将严格按照检录要求对参赛战队的机器人进行安全检查。正式比赛前会对机器人进行赛前检录。未通过检录的机器人需重新调整后再次检录直至检录通过，机器人检录未通过的战队不得参加比赛。机器人检录环节还将对战队标记物进行检录。</w:t>
      </w:r>
    </w:p>
    <w:p w14:paraId="199D6F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4.2赛程公布</w:t>
      </w:r>
    </w:p>
    <w:p w14:paraId="2D2C8B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组委会将在比赛开始前至少30分钟，通过线上或线下渠道进行赛程公布（包含对阵表、比赛场次及时间）。</w:t>
      </w:r>
    </w:p>
    <w:p w14:paraId="7543FE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3.2.1资格排位赛（各设区市举办的选拔赛）</w:t>
      </w:r>
    </w:p>
    <w:p w14:paraId="706FA3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常规赛事中，每个队伍将进行资格排位赛。</w:t>
      </w:r>
    </w:p>
    <w:p w14:paraId="491172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资格排位赛完成后，按以下规则决出排名高低：</w:t>
      </w:r>
    </w:p>
    <w:p w14:paraId="0E77B9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(1)依据队伍所有资格排位赛所有场次得分之和进行排序，资格排位赛总得分高的队伍排名靠前；</w:t>
      </w:r>
    </w:p>
    <w:p w14:paraId="6897FC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(2)若上述条件相同，则资格排位赛总用时较短的排名靠前；</w:t>
      </w:r>
    </w:p>
    <w:p w14:paraId="1F0A9E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(3)若所有资格赛得分之和、比赛总时长全部相同，排名相同的队伍将单独进行加赛(仅做自动独立任务)直至决出胜负。</w:t>
      </w:r>
    </w:p>
    <w:p w14:paraId="0E9B0E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3.2.2 冠军争夺战（全省总决赛）</w:t>
      </w:r>
    </w:p>
    <w:p w14:paraId="7978DC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晋级决赛的队伍之间将进行冠军争夺战,红蓝方选择由队伍内部自行商定。并按以下规则决出排名高低：</w:t>
      </w:r>
    </w:p>
    <w:p w14:paraId="1F1C37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（1）单场总分较高的队伍排名靠前；</w:t>
      </w:r>
    </w:p>
    <w:p w14:paraId="18969E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（2）若单场总分相同，则完成时间较短的队伍排名靠前；</w:t>
      </w:r>
    </w:p>
    <w:p w14:paraId="04E656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（3）以上条件均相同，则相同排名队伍进行加赛(做全部任务)直至决出胜负。</w:t>
      </w:r>
    </w:p>
    <w:p w14:paraId="7FDB6AF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bookmarkStart w:id="2" w:name="_Toc16007"/>
      <w:r>
        <w:rPr>
          <w:rFonts w:hint="eastAsia" w:ascii="黑体" w:hAnsi="黑体" w:eastAsia="黑体" w:cs="黑体"/>
          <w:b/>
          <w:bCs/>
          <w:color w:val="000000" w:themeColor="text1"/>
          <w:sz w:val="28"/>
          <w:szCs w:val="28"/>
          <w:lang w:val="en-US" w:eastAsia="zh-CN"/>
          <w14:textFill>
            <w14:solidFill>
              <w14:schemeClr w14:val="tx1"/>
            </w14:solidFill>
          </w14:textFill>
        </w:rPr>
        <w:t>比赛内容</w:t>
      </w:r>
      <w:bookmarkEnd w:id="2"/>
    </w:p>
    <w:p w14:paraId="3DEBEF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4.1比赛主题</w:t>
      </w:r>
    </w:p>
    <w:p w14:paraId="57935B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2025赛季机器人任务赛的比赛主题为《全芯征途》。</w:t>
      </w:r>
    </w:p>
    <w:p w14:paraId="555D79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传统制造业耗费大量人力物力，造成众多废弃物排放，甚至导致污染环境。搭载先进技术的芯片是制造业变革的技术主导，将极大地提升制造效率、降低制造成本，提升制造的智能化、便利化，少年们敏锐洞察到智能制造的先机和改良，决心探芯寻宝，共赴全芯征途，为未来的智能制造贡献芯力量，促进智能制造行业的可持续发展。</w:t>
      </w:r>
    </w:p>
    <w:p w14:paraId="51F678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4.2玩法简介</w:t>
      </w:r>
    </w:p>
    <w:p w14:paraId="5D733F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青少年AI机器人赛道-机器人任务赛为多任务类赛项，比赛由队伍中的红蓝双方选手合作完成。</w:t>
      </w:r>
    </w:p>
    <w:p w14:paraId="40071F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比赛总时长为4分钟，由自动控制阶段和手动控制阶段两部分组成，各阶段时长由队伍选手协商决定。比赛共有2个计分时刻。战队需要在自动控制阶段完成自动任务，队伍队员均同意由自动控制阶段向手动控制阶段切换后，裁判将暂停计时，进入到自动控制阶段的计分时刻，计分结束后，开始手动控制阶段，阶段切换后，在手动控制阶段完成手动任务。全场比赛结束后，进入手动控制阶段的计分时刻，裁判根据计分时刻时各道具的最终状态计算双方各项任务得分。</w:t>
      </w:r>
    </w:p>
    <w:p w14:paraId="750E01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405306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19DA25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6B0314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71D161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position w:val="-96"/>
        </w:rPr>
        <w:drawing>
          <wp:inline distT="0" distB="0" distL="0" distR="0">
            <wp:extent cx="3321050" cy="2275840"/>
            <wp:effectExtent l="0" t="0" r="12700" b="10160"/>
            <wp:docPr id="76" name="IM 36"/>
            <wp:cNvGraphicFramePr/>
            <a:graphic xmlns:a="http://schemas.openxmlformats.org/drawingml/2006/main">
              <a:graphicData uri="http://schemas.openxmlformats.org/drawingml/2006/picture">
                <pic:pic xmlns:pic="http://schemas.openxmlformats.org/drawingml/2006/picture">
                  <pic:nvPicPr>
                    <pic:cNvPr id="76" name="IM 36"/>
                    <pic:cNvPicPr/>
                  </pic:nvPicPr>
                  <pic:blipFill>
                    <a:blip r:embed="rId5"/>
                    <a:stretch>
                      <a:fillRect/>
                    </a:stretch>
                  </pic:blipFill>
                  <pic:spPr>
                    <a:xfrm>
                      <a:off x="0" y="0"/>
                      <a:ext cx="3321050" cy="2275840"/>
                    </a:xfrm>
                    <a:prstGeom prst="rect">
                      <a:avLst/>
                    </a:prstGeom>
                  </pic:spPr>
                </pic:pic>
              </a:graphicData>
            </a:graphic>
          </wp:inline>
        </w:drawing>
      </w:r>
    </w:p>
    <w:p w14:paraId="2FE9CF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黑体" w:hAnsi="黑体" w:eastAsia="黑体" w:cs="黑体"/>
          <w:color w:val="000000" w:themeColor="text1"/>
          <w:sz w:val="21"/>
          <w:szCs w:val="21"/>
          <w:lang w:val="en-US" w:eastAsia="zh-CN"/>
          <w14:textFill>
            <w14:solidFill>
              <w14:schemeClr w14:val="tx1"/>
            </w14:solidFill>
          </w14:textFill>
        </w:rPr>
        <w:t>比赛场地轴侧图</w:t>
      </w:r>
    </w:p>
    <w:p w14:paraId="565B0E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4.3场地说明</w:t>
      </w:r>
    </w:p>
    <w:p w14:paraId="5DC552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比赛场地由地图和边框组成。场地边框内尺寸为2317mm*2317mm,场地外边框尺寸为 2372mm*2372mm。</w:t>
      </w:r>
    </w:p>
    <w:p w14:paraId="648E3A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比赛地图分为自动任务区和手动任务区两个部分，主要包括启动区、密码填充区、标记区、手动装载区等区域。</w:t>
      </w:r>
    </w:p>
    <w:p w14:paraId="362AE99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7CAFF9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position w:val="-90"/>
        </w:rPr>
        <w:drawing>
          <wp:inline distT="0" distB="0" distL="0" distR="0">
            <wp:extent cx="2850515" cy="2882265"/>
            <wp:effectExtent l="0" t="0" r="6985" b="13335"/>
            <wp:docPr id="77" name="IM 38"/>
            <wp:cNvGraphicFramePr/>
            <a:graphic xmlns:a="http://schemas.openxmlformats.org/drawingml/2006/main">
              <a:graphicData uri="http://schemas.openxmlformats.org/drawingml/2006/picture">
                <pic:pic xmlns:pic="http://schemas.openxmlformats.org/drawingml/2006/picture">
                  <pic:nvPicPr>
                    <pic:cNvPr id="77" name="IM 38"/>
                    <pic:cNvPicPr/>
                  </pic:nvPicPr>
                  <pic:blipFill>
                    <a:blip r:embed="rId6"/>
                    <a:stretch>
                      <a:fillRect/>
                    </a:stretch>
                  </pic:blipFill>
                  <pic:spPr>
                    <a:xfrm>
                      <a:off x="0" y="0"/>
                      <a:ext cx="2851118" cy="2882833"/>
                    </a:xfrm>
                    <a:prstGeom prst="rect">
                      <a:avLst/>
                    </a:prstGeom>
                  </pic:spPr>
                </pic:pic>
              </a:graphicData>
            </a:graphic>
          </wp:inline>
        </w:drawing>
      </w:r>
    </w:p>
    <w:p w14:paraId="7D202F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场地区域划分示意图</w:t>
      </w:r>
    </w:p>
    <w:p w14:paraId="2E0942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以下为主要区域说明：</w:t>
      </w:r>
    </w:p>
    <w:p w14:paraId="37762C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4.3.1 启动区</w:t>
      </w:r>
    </w:p>
    <w:p w14:paraId="6C33D1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自动任务区内各有红蓝启动区一个，为边长 280mm 的正方形。</w:t>
      </w:r>
    </w:p>
    <w:p w14:paraId="1F8523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319905" cy="1873885"/>
            <wp:effectExtent l="0" t="0" r="8255" b="6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tretch>
                      <a:fillRect/>
                    </a:stretch>
                  </pic:blipFill>
                  <pic:spPr>
                    <a:xfrm>
                      <a:off x="0" y="0"/>
                      <a:ext cx="4319905" cy="1873885"/>
                    </a:xfrm>
                    <a:prstGeom prst="rect">
                      <a:avLst/>
                    </a:prstGeom>
                    <a:noFill/>
                    <a:ln>
                      <a:noFill/>
                    </a:ln>
                  </pic:spPr>
                </pic:pic>
              </a:graphicData>
            </a:graphic>
          </wp:inline>
        </w:drawing>
      </w:r>
    </w:p>
    <w:p w14:paraId="20FCEE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自动任务区启动区示意图</w:t>
      </w:r>
    </w:p>
    <w:p w14:paraId="55D146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33796C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手动任务区内各有红蓝启动区一个，为边长280mm的正方形</w:t>
      </w:r>
    </w:p>
    <w:p w14:paraId="56E7D1C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319905" cy="1873885"/>
            <wp:effectExtent l="0" t="0" r="8255" b="63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7"/>
                    <a:stretch>
                      <a:fillRect/>
                    </a:stretch>
                  </pic:blipFill>
                  <pic:spPr>
                    <a:xfrm>
                      <a:off x="0" y="0"/>
                      <a:ext cx="4319905" cy="1873885"/>
                    </a:xfrm>
                    <a:prstGeom prst="rect">
                      <a:avLst/>
                    </a:prstGeom>
                    <a:noFill/>
                    <a:ln>
                      <a:noFill/>
                    </a:ln>
                  </pic:spPr>
                </pic:pic>
              </a:graphicData>
            </a:graphic>
          </wp:inline>
        </w:drawing>
      </w:r>
    </w:p>
    <w:p w14:paraId="50D281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手动任务启动区示意图</w:t>
      </w:r>
    </w:p>
    <w:p w14:paraId="7BDEBE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4.3.2 资源区</w:t>
      </w:r>
    </w:p>
    <w:p w14:paraId="21A99C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资源区为图示区域  </w:t>
      </w:r>
    </w:p>
    <w:p w14:paraId="65C595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尺寸：96mm*96mm</w:t>
      </w:r>
    </w:p>
    <w:p w14:paraId="686AFF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位置：位于自动任务区启动区旁 </w:t>
      </w:r>
    </w:p>
    <w:p w14:paraId="2664DB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数量：红蓝方各4个</w:t>
      </w:r>
    </w:p>
    <w:p w14:paraId="46EA86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position w:val="-60"/>
        </w:rPr>
      </w:pPr>
      <w:r>
        <w:rPr>
          <w:position w:val="-60"/>
        </w:rPr>
        <w:drawing>
          <wp:inline distT="0" distB="0" distL="0" distR="0">
            <wp:extent cx="1597660" cy="1592580"/>
            <wp:effectExtent l="0" t="0" r="2540" b="7620"/>
            <wp:docPr id="80" name="IM 48"/>
            <wp:cNvGraphicFramePr/>
            <a:graphic xmlns:a="http://schemas.openxmlformats.org/drawingml/2006/main">
              <a:graphicData uri="http://schemas.openxmlformats.org/drawingml/2006/picture">
                <pic:pic xmlns:pic="http://schemas.openxmlformats.org/drawingml/2006/picture">
                  <pic:nvPicPr>
                    <pic:cNvPr id="80" name="IM 48"/>
                    <pic:cNvPicPr/>
                  </pic:nvPicPr>
                  <pic:blipFill>
                    <a:blip r:embed="rId8"/>
                    <a:stretch>
                      <a:fillRect/>
                    </a:stretch>
                  </pic:blipFill>
                  <pic:spPr>
                    <a:xfrm>
                      <a:off x="0" y="0"/>
                      <a:ext cx="1597660" cy="1592580"/>
                    </a:xfrm>
                    <a:prstGeom prst="rect">
                      <a:avLst/>
                    </a:prstGeom>
                  </pic:spPr>
                </pic:pic>
              </a:graphicData>
            </a:graphic>
          </wp:inline>
        </w:drawing>
      </w:r>
    </w:p>
    <w:p w14:paraId="239570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资源区示意图</w:t>
      </w:r>
    </w:p>
    <w:p w14:paraId="50AD52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position w:val="-60"/>
          <w:lang w:val="en-US" w:eastAsia="zh-CN"/>
        </w:rPr>
      </w:pPr>
    </w:p>
    <w:p w14:paraId="615408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4.3.3 密码填充区</w:t>
      </w:r>
    </w:p>
    <w:p w14:paraId="691729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密码填充区为图示区域</w:t>
      </w:r>
    </w:p>
    <w:p w14:paraId="02249B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尺寸：130mm*93mm</w:t>
      </w:r>
    </w:p>
    <w:p w14:paraId="70653B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位置：自动任务区中央区域T字路口旁</w:t>
      </w:r>
    </w:p>
    <w:p w14:paraId="04CF4D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数量：红蓝方各一个</w:t>
      </w:r>
    </w:p>
    <w:p w14:paraId="4543C2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4392930" cy="857250"/>
            <wp:effectExtent l="0" t="0" r="11430"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92930" cy="857250"/>
                    </a:xfrm>
                    <a:prstGeom prst="rect">
                      <a:avLst/>
                    </a:prstGeom>
                  </pic:spPr>
                </pic:pic>
              </a:graphicData>
            </a:graphic>
          </wp:inline>
        </w:drawing>
      </w:r>
    </w:p>
    <w:p w14:paraId="4F3609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密码填充区示意图</w:t>
      </w:r>
    </w:p>
    <w:p w14:paraId="298CD7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4.3.4 中转区</w:t>
      </w:r>
      <w:r>
        <w:rPr>
          <w:rFonts w:hint="default" w:ascii="黑体" w:hAnsi="黑体" w:eastAsia="黑体" w:cs="黑体"/>
          <w:b/>
          <w:bCs/>
          <w:color w:val="000000" w:themeColor="text1"/>
          <w:sz w:val="21"/>
          <w:szCs w:val="21"/>
          <w:lang w:val="en-US" w:eastAsia="zh-CN"/>
          <w14:textFill>
            <w14:solidFill>
              <w14:schemeClr w14:val="tx1"/>
            </w14:solidFill>
          </w14:textFill>
        </w:rPr>
        <w:t> </w:t>
      </w:r>
    </w:p>
    <w:p w14:paraId="589FB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default" w:ascii="仿宋" w:hAnsi="仿宋" w:eastAsia="仿宋" w:cs="仿宋"/>
          <w:color w:val="000000" w:themeColor="text1"/>
          <w:kern w:val="0"/>
          <w:sz w:val="22"/>
          <w:szCs w:val="22"/>
          <w:lang w:val="en-US" w:eastAsia="zh-CN"/>
          <w14:textFill>
            <w14:solidFill>
              <w14:schemeClr w14:val="tx1"/>
            </w14:solidFill>
          </w14:textFill>
        </w:rPr>
        <w:t xml:space="preserve">转运区为图示区域。 </w:t>
      </w:r>
    </w:p>
    <w:p w14:paraId="727186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default" w:ascii="仿宋" w:hAnsi="仿宋" w:eastAsia="仿宋" w:cs="仿宋"/>
          <w:color w:val="000000" w:themeColor="text1"/>
          <w:kern w:val="0"/>
          <w:sz w:val="22"/>
          <w:szCs w:val="22"/>
          <w:lang w:val="en-US" w:eastAsia="zh-CN"/>
          <w14:textFill>
            <w14:solidFill>
              <w14:schemeClr w14:val="tx1"/>
            </w14:solidFill>
          </w14:textFill>
        </w:rPr>
        <w:t>尺寸：130mm*93mm</w:t>
      </w:r>
    </w:p>
    <w:p w14:paraId="1B92F5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default" w:ascii="仿宋" w:hAnsi="仿宋" w:eastAsia="仿宋" w:cs="仿宋"/>
          <w:color w:val="000000" w:themeColor="text1"/>
          <w:kern w:val="0"/>
          <w:sz w:val="22"/>
          <w:szCs w:val="22"/>
          <w:lang w:val="en-US" w:eastAsia="zh-CN"/>
          <w14:textFill>
            <w14:solidFill>
              <w14:schemeClr w14:val="tx1"/>
            </w14:solidFill>
          </w14:textFill>
        </w:rPr>
        <w:t>位置：位于自动任务区中间靠近</w:t>
      </w:r>
      <w:r>
        <w:rPr>
          <w:rFonts w:hint="eastAsia" w:ascii="仿宋" w:hAnsi="仿宋" w:eastAsia="仿宋" w:cs="仿宋"/>
          <w:color w:val="000000" w:themeColor="text1"/>
          <w:kern w:val="0"/>
          <w:sz w:val="22"/>
          <w:szCs w:val="22"/>
          <w:lang w:val="en-US" w:eastAsia="zh-CN"/>
          <w14:textFill>
            <w14:solidFill>
              <w14:schemeClr w14:val="tx1"/>
            </w14:solidFill>
          </w14:textFill>
        </w:rPr>
        <w:t>手动任务区方向</w:t>
      </w:r>
    </w:p>
    <w:p w14:paraId="6FE74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数量：红蓝方各一个</w:t>
      </w:r>
    </w:p>
    <w:p w14:paraId="5813B1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position w:val="-64"/>
        </w:rPr>
        <w:drawing>
          <wp:inline distT="0" distB="0" distL="0" distR="0">
            <wp:extent cx="2491740" cy="1637665"/>
            <wp:effectExtent l="0" t="0" r="3810" b="635"/>
            <wp:docPr id="79" name="IM 58"/>
            <wp:cNvGraphicFramePr/>
            <a:graphic xmlns:a="http://schemas.openxmlformats.org/drawingml/2006/main">
              <a:graphicData uri="http://schemas.openxmlformats.org/drawingml/2006/picture">
                <pic:pic xmlns:pic="http://schemas.openxmlformats.org/drawingml/2006/picture">
                  <pic:nvPicPr>
                    <pic:cNvPr id="79" name="IM 58"/>
                    <pic:cNvPicPr/>
                  </pic:nvPicPr>
                  <pic:blipFill>
                    <a:blip r:embed="rId10"/>
                    <a:stretch>
                      <a:fillRect/>
                    </a:stretch>
                  </pic:blipFill>
                  <pic:spPr>
                    <a:xfrm>
                      <a:off x="0" y="0"/>
                      <a:ext cx="2491740" cy="1637665"/>
                    </a:xfrm>
                    <a:prstGeom prst="rect">
                      <a:avLst/>
                    </a:prstGeom>
                  </pic:spPr>
                </pic:pic>
              </a:graphicData>
            </a:graphic>
          </wp:inline>
        </w:drawing>
      </w:r>
    </w:p>
    <w:p w14:paraId="71CC92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中转区示意图</w:t>
      </w:r>
    </w:p>
    <w:p w14:paraId="34141D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p>
    <w:p w14:paraId="051575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4.3.5 转运区</w:t>
      </w:r>
      <w:r>
        <w:rPr>
          <w:rFonts w:hint="default" w:ascii="黑体" w:hAnsi="黑体" w:eastAsia="黑体" w:cs="黑体"/>
          <w:b/>
          <w:bCs/>
          <w:color w:val="000000" w:themeColor="text1"/>
          <w:sz w:val="21"/>
          <w:szCs w:val="21"/>
          <w:lang w:val="en-US" w:eastAsia="zh-CN"/>
          <w14:textFill>
            <w14:solidFill>
              <w14:schemeClr w14:val="tx1"/>
            </w14:solidFill>
          </w14:textFill>
        </w:rPr>
        <w:t> </w:t>
      </w:r>
    </w:p>
    <w:p w14:paraId="0001EC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default" w:ascii="仿宋" w:hAnsi="仿宋" w:eastAsia="仿宋" w:cs="仿宋"/>
          <w:color w:val="000000" w:themeColor="text1"/>
          <w:kern w:val="0"/>
          <w:sz w:val="22"/>
          <w:szCs w:val="22"/>
          <w:lang w:val="en-US" w:eastAsia="zh-CN"/>
          <w14:textFill>
            <w14:solidFill>
              <w14:schemeClr w14:val="tx1"/>
            </w14:solidFill>
          </w14:textFill>
        </w:rPr>
        <w:t xml:space="preserve">转运区为图示区域。 </w:t>
      </w:r>
    </w:p>
    <w:p w14:paraId="436D2C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default" w:ascii="仿宋" w:hAnsi="仿宋" w:eastAsia="仿宋" w:cs="仿宋"/>
          <w:color w:val="000000" w:themeColor="text1"/>
          <w:kern w:val="0"/>
          <w:sz w:val="22"/>
          <w:szCs w:val="22"/>
          <w:lang w:val="en-US" w:eastAsia="zh-CN"/>
          <w14:textFill>
            <w14:solidFill>
              <w14:schemeClr w14:val="tx1"/>
            </w14:solidFill>
          </w14:textFill>
        </w:rPr>
        <w:t>尺寸：130mm*93mm</w:t>
      </w:r>
    </w:p>
    <w:p w14:paraId="1C936E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default" w:ascii="仿宋" w:hAnsi="仿宋" w:eastAsia="仿宋" w:cs="仿宋"/>
          <w:color w:val="000000" w:themeColor="text1"/>
          <w:kern w:val="0"/>
          <w:sz w:val="22"/>
          <w:szCs w:val="22"/>
          <w:lang w:val="en-US" w:eastAsia="zh-CN"/>
          <w14:textFill>
            <w14:solidFill>
              <w14:schemeClr w14:val="tx1"/>
            </w14:solidFill>
          </w14:textFill>
        </w:rPr>
        <w:t>位置：位于自动任务区中间靠近下方边框位置</w:t>
      </w:r>
    </w:p>
    <w:p w14:paraId="29008B9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数量：红蓝方各一个</w:t>
      </w:r>
    </w:p>
    <w:p w14:paraId="1B8474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position w:val="-46"/>
        </w:rPr>
        <w:drawing>
          <wp:inline distT="0" distB="0" distL="0" distR="0">
            <wp:extent cx="2658110" cy="1271905"/>
            <wp:effectExtent l="0" t="0" r="8890" b="4445"/>
            <wp:docPr id="78" name="IM 64"/>
            <wp:cNvGraphicFramePr/>
            <a:graphic xmlns:a="http://schemas.openxmlformats.org/drawingml/2006/main">
              <a:graphicData uri="http://schemas.openxmlformats.org/drawingml/2006/picture">
                <pic:pic xmlns:pic="http://schemas.openxmlformats.org/drawingml/2006/picture">
                  <pic:nvPicPr>
                    <pic:cNvPr id="78" name="IM 64"/>
                    <pic:cNvPicPr/>
                  </pic:nvPicPr>
                  <pic:blipFill>
                    <a:blip r:embed="rId11"/>
                    <a:stretch>
                      <a:fillRect/>
                    </a:stretch>
                  </pic:blipFill>
                  <pic:spPr>
                    <a:xfrm>
                      <a:off x="0" y="0"/>
                      <a:ext cx="2658110" cy="1271905"/>
                    </a:xfrm>
                    <a:prstGeom prst="rect">
                      <a:avLst/>
                    </a:prstGeom>
                  </pic:spPr>
                </pic:pic>
              </a:graphicData>
            </a:graphic>
          </wp:inline>
        </w:drawing>
      </w:r>
    </w:p>
    <w:p w14:paraId="5B8785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转运区示意图</w:t>
      </w:r>
    </w:p>
    <w:p w14:paraId="737A4E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4.3.6 手动装载区</w:t>
      </w:r>
      <w:r>
        <w:rPr>
          <w:rFonts w:hint="default" w:ascii="黑体" w:hAnsi="黑体" w:eastAsia="黑体" w:cs="黑体"/>
          <w:b/>
          <w:bCs/>
          <w:color w:val="000000" w:themeColor="text1"/>
          <w:sz w:val="21"/>
          <w:szCs w:val="21"/>
          <w:lang w:val="en-US" w:eastAsia="zh-CN"/>
          <w14:textFill>
            <w14:solidFill>
              <w14:schemeClr w14:val="tx1"/>
            </w14:solidFill>
          </w14:textFill>
        </w:rPr>
        <w:t> </w:t>
      </w:r>
    </w:p>
    <w:p w14:paraId="525226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手动装载区为图示绿色区域。</w:t>
      </w:r>
    </w:p>
    <w:p w14:paraId="57C91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尺寸：长550mm*宽200mm</w:t>
      </w:r>
    </w:p>
    <w:p w14:paraId="3B3A08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位置：手动任务区一侧</w:t>
      </w:r>
    </w:p>
    <w:p w14:paraId="62C422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数量：一个</w:t>
      </w:r>
    </w:p>
    <w:p w14:paraId="2407A0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drawing>
          <wp:inline distT="0" distB="0" distL="114300" distR="114300">
            <wp:extent cx="2990850" cy="982980"/>
            <wp:effectExtent l="0" t="0" r="1143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90850" cy="982980"/>
                    </a:xfrm>
                    <a:prstGeom prst="rect">
                      <a:avLst/>
                    </a:prstGeom>
                  </pic:spPr>
                </pic:pic>
              </a:graphicData>
            </a:graphic>
          </wp:inline>
        </w:drawing>
      </w:r>
    </w:p>
    <w:p w14:paraId="07E2C4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手动装载区示意图</w:t>
      </w:r>
    </w:p>
    <w:p w14:paraId="2222DA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p>
    <w:p w14:paraId="0641E1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1"/>
          <w:szCs w:val="21"/>
          <w:lang w:val="en-US" w:eastAsia="zh-CN"/>
          <w14:textFill>
            <w14:solidFill>
              <w14:schemeClr w14:val="tx1"/>
            </w14:solidFill>
          </w14:textFill>
        </w:rPr>
        <w:t>4.3.7 标记区</w:t>
      </w:r>
      <w:r>
        <w:rPr>
          <w:rFonts w:hint="default" w:ascii="黑体" w:hAnsi="黑体" w:eastAsia="黑体" w:cs="黑体"/>
          <w:b/>
          <w:bCs/>
          <w:color w:val="000000" w:themeColor="text1"/>
          <w:sz w:val="21"/>
          <w:szCs w:val="21"/>
          <w:lang w:val="en-US" w:eastAsia="zh-CN"/>
          <w14:textFill>
            <w14:solidFill>
              <w14:schemeClr w14:val="tx1"/>
            </w14:solidFill>
          </w14:textFill>
        </w:rPr>
        <w:t> </w:t>
      </w:r>
    </w:p>
    <w:p w14:paraId="2FFDE6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战队标记区为图示圆形区域。</w:t>
      </w:r>
    </w:p>
    <w:p w14:paraId="673C44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尺寸∶直径80mm圆形</w:t>
      </w:r>
    </w:p>
    <w:p w14:paraId="067FD3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位置∶手动任务区矩阵研究站两侧</w:t>
      </w:r>
    </w:p>
    <w:p w14:paraId="0BDF8D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数量∶红蓝方各一个</w:t>
      </w:r>
    </w:p>
    <w:p w14:paraId="136A6B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2447925" cy="1969770"/>
            <wp:effectExtent l="0" t="0" r="5715" b="1143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7925" cy="1969770"/>
                    </a:xfrm>
                    <a:prstGeom prst="rect">
                      <a:avLst/>
                    </a:prstGeom>
                  </pic:spPr>
                </pic:pic>
              </a:graphicData>
            </a:graphic>
          </wp:inline>
        </w:drawing>
      </w:r>
      <w:r>
        <w:rPr>
          <w:rFonts w:hint="default" w:ascii="黑体" w:hAnsi="黑体" w:eastAsia="黑体" w:cs="黑体"/>
          <w:color w:val="000000" w:themeColor="text1"/>
          <w:sz w:val="21"/>
          <w:szCs w:val="21"/>
          <w:lang w:val="en-US" w:eastAsia="zh-CN"/>
          <w14:textFill>
            <w14:solidFill>
              <w14:schemeClr w14:val="tx1"/>
            </w14:solidFill>
          </w14:textFill>
        </w:rPr>
        <w:t> </w:t>
      </w:r>
    </w:p>
    <w:p w14:paraId="7F3BA9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标记区示意图</w:t>
      </w:r>
    </w:p>
    <w:p w14:paraId="51AC7B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color w:val="000000" w:themeColor="text1"/>
          <w:lang w:val="en-US" w:eastAsia="zh-CN"/>
          <w14:textFill>
            <w14:solidFill>
              <w14:schemeClr w14:val="tx1"/>
            </w14:solidFill>
          </w14:textFill>
        </w:rPr>
      </w:pPr>
    </w:p>
    <w:p w14:paraId="6A79C4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4.4道具清单</w:t>
      </w:r>
    </w:p>
    <w:p w14:paraId="617D52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场地道具包括得分道具及任务道具，以下为道具介绍：</w:t>
      </w:r>
    </w:p>
    <w:p w14:paraId="53B11E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得分道具</w:t>
      </w:r>
    </w:p>
    <w:p w14:paraId="77C73E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道具名称：数据块</w:t>
      </w:r>
    </w:p>
    <w:p w14:paraId="32BCE1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道具介绍：边长70mm带倒三角的红色或蓝色正方体，4面分别标有字母“M”“A”“E”“X”，以下简称红色/蓝色字母方块</w:t>
      </w:r>
    </w:p>
    <w:p w14:paraId="253C68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道具尺寸：最大边长为70mm</w:t>
      </w:r>
    </w:p>
    <w:p w14:paraId="3A618A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数量：红色5个，蓝色5个</w:t>
      </w:r>
    </w:p>
    <w:p w14:paraId="53608A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颜色与材质：红色、蓝色、EVA</w:t>
      </w:r>
    </w:p>
    <w:p w14:paraId="718D52B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4F45AD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5096510" cy="1880235"/>
            <wp:effectExtent l="0" t="0" r="0" b="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6510" cy="1880235"/>
                    </a:xfrm>
                    <a:prstGeom prst="rect">
                      <a:avLst/>
                    </a:prstGeom>
                  </pic:spPr>
                </pic:pic>
              </a:graphicData>
            </a:graphic>
          </wp:inline>
        </w:drawing>
      </w:r>
    </w:p>
    <w:p w14:paraId="7B7F88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数据块示意图</w:t>
      </w:r>
    </w:p>
    <w:p w14:paraId="648ACB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p>
    <w:p w14:paraId="0AA564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道具名称：量子芯片</w:t>
      </w:r>
    </w:p>
    <w:p w14:paraId="67DCE5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道具介绍：边长70mm带倒三角的黄色正方体，4面均标字母“K”，以下简称黄色字母方块</w:t>
      </w:r>
    </w:p>
    <w:p w14:paraId="5DD7DF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道具尺寸：最大边长为70mm </w:t>
      </w:r>
    </w:p>
    <w:p w14:paraId="6DE6AF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数量：1个</w:t>
      </w:r>
    </w:p>
    <w:p w14:paraId="209DF3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color w:val="000000" w:themeColor="text1"/>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颜色与材质：黄色、EVA</w:t>
      </w:r>
    </w:p>
    <w:p w14:paraId="3E2AC0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450340" cy="1536700"/>
            <wp:effectExtent l="0" t="0" r="12700" b="2540"/>
            <wp:docPr id="63"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0340" cy="1536700"/>
                    </a:xfrm>
                    <a:prstGeom prst="rect">
                      <a:avLst/>
                    </a:prstGeom>
                  </pic:spPr>
                </pic:pic>
              </a:graphicData>
            </a:graphic>
          </wp:inline>
        </w:drawing>
      </w:r>
    </w:p>
    <w:p w14:paraId="339B265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color w:val="000000" w:themeColor="text1"/>
          <w14:textFill>
            <w14:solidFill>
              <w14:schemeClr w14:val="tx1"/>
            </w14:solidFill>
          </w14:textFill>
        </w:rPr>
      </w:pPr>
    </w:p>
    <w:p w14:paraId="22E01D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量子芯片示意图</w:t>
      </w:r>
    </w:p>
    <w:p w14:paraId="540CF1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道具名称：有机晶体</w:t>
      </w:r>
    </w:p>
    <w:p w14:paraId="450D4C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道具介绍：边长70mm带倒三角的黄色正方体，以下简称黄色方块</w:t>
      </w:r>
    </w:p>
    <w:p w14:paraId="7D04DC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道具尺寸：最大边长为70mm</w:t>
      </w:r>
    </w:p>
    <w:p w14:paraId="0FBFCE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数量：3个</w:t>
      </w:r>
    </w:p>
    <w:p w14:paraId="79957E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cs="微软雅黑"/>
          <w:color w:val="000000" w:themeColor="text1"/>
          <w:sz w:val="24"/>
          <w:szCs w:val="21"/>
          <w14:textFill>
            <w14:solidFill>
              <w14:schemeClr w14:val="tx1"/>
            </w14:solidFill>
          </w14:textFill>
        </w:rPr>
        <w:drawing>
          <wp:anchor distT="0" distB="0" distL="114300" distR="114300" simplePos="0" relativeHeight="251661312" behindDoc="0" locked="0" layoutInCell="1" allowOverlap="1">
            <wp:simplePos x="0" y="0"/>
            <wp:positionH relativeFrom="margin">
              <wp:posOffset>2149475</wp:posOffset>
            </wp:positionH>
            <wp:positionV relativeFrom="paragraph">
              <wp:posOffset>438150</wp:posOffset>
            </wp:positionV>
            <wp:extent cx="1498600" cy="14986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98600" cy="1498600"/>
                    </a:xfrm>
                    <a:prstGeom prst="rect">
                      <a:avLst/>
                    </a:prstGeom>
                  </pic:spPr>
                </pic:pic>
              </a:graphicData>
            </a:graphic>
          </wp:anchor>
        </w:drawing>
      </w:r>
      <w:r>
        <w:rPr>
          <w:rFonts w:hint="eastAsia" w:ascii="仿宋" w:hAnsi="仿宋" w:eastAsia="仿宋" w:cs="仿宋"/>
          <w:color w:val="000000" w:themeColor="text1"/>
          <w:kern w:val="0"/>
          <w:sz w:val="22"/>
          <w:szCs w:val="22"/>
          <w:lang w:val="en-US" w:eastAsia="zh-CN"/>
          <w14:textFill>
            <w14:solidFill>
              <w14:schemeClr w14:val="tx1"/>
            </w14:solidFill>
          </w14:textFill>
        </w:rPr>
        <w:t>颜色与材质：黄色、EVA</w:t>
      </w:r>
    </w:p>
    <w:p w14:paraId="3F098CD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有机晶体示意图</w:t>
      </w:r>
    </w:p>
    <w:p w14:paraId="214D71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p>
    <w:p w14:paraId="3C4CFC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道具名称：光子能源</w:t>
      </w:r>
    </w:p>
    <w:p w14:paraId="6BC744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道具介绍：直径70mm的EVA球体</w:t>
      </w:r>
    </w:p>
    <w:p w14:paraId="5BA58D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道具尺寸：直接70mm</w:t>
      </w:r>
    </w:p>
    <w:p w14:paraId="6318B5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数量：红色1个、蓝色1个</w:t>
      </w:r>
    </w:p>
    <w:p w14:paraId="2F0826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颜色与材质：红色/蓝色、EVA</w:t>
      </w:r>
    </w:p>
    <w:p w14:paraId="3CB31D6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pPr>
      <w:r>
        <w:drawing>
          <wp:inline distT="0" distB="0" distL="114300" distR="114300">
            <wp:extent cx="2831465" cy="1343025"/>
            <wp:effectExtent l="0" t="0" r="3175" b="1333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2831465" cy="1343025"/>
                    </a:xfrm>
                    <a:prstGeom prst="rect">
                      <a:avLst/>
                    </a:prstGeom>
                    <a:noFill/>
                    <a:ln>
                      <a:noFill/>
                    </a:ln>
                  </pic:spPr>
                </pic:pic>
              </a:graphicData>
            </a:graphic>
          </wp:inline>
        </w:drawing>
      </w:r>
    </w:p>
    <w:p w14:paraId="0E0524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智控球示意图</w:t>
      </w:r>
    </w:p>
    <w:p w14:paraId="6A2EAA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道具名称：光谱环</w:t>
      </w:r>
    </w:p>
    <w:p w14:paraId="32792D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道具介绍：红、蓝、黄3个颜色的圆环；</w:t>
      </w:r>
    </w:p>
    <w:p w14:paraId="576107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道具尺寸：厚20mm、内径40mm、外径70mm</w:t>
      </w:r>
    </w:p>
    <w:p w14:paraId="3A8C42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数量：红色2个、蓝色2个、黄色2个</w:t>
      </w:r>
    </w:p>
    <w:p w14:paraId="6F6D75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颜色与材质：红/蓝/黄色、EVA</w:t>
      </w:r>
    </w:p>
    <w:p w14:paraId="50FD90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仿宋" w:hAnsi="仿宋" w:eastAsia="仿宋" w:cs="仿宋"/>
          <w:b w:val="0"/>
          <w:bCs w:val="0"/>
          <w:color w:val="000000" w:themeColor="text1"/>
          <w:kern w:val="0"/>
          <w:sz w:val="22"/>
          <w:szCs w:val="22"/>
          <w:lang w:val="en-US" w:eastAsia="zh-CN"/>
          <w14:textFill>
            <w14:solidFill>
              <w14:schemeClr w14:val="tx1"/>
            </w14:solidFill>
          </w14:textFill>
        </w:rPr>
      </w:pPr>
      <w:r>
        <w:drawing>
          <wp:inline distT="0" distB="0" distL="114300" distR="114300">
            <wp:extent cx="4502785" cy="1161415"/>
            <wp:effectExtent l="0" t="0" r="1206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8"/>
                    <a:stretch>
                      <a:fillRect/>
                    </a:stretch>
                  </pic:blipFill>
                  <pic:spPr>
                    <a:xfrm>
                      <a:off x="0" y="0"/>
                      <a:ext cx="4502785" cy="1161415"/>
                    </a:xfrm>
                    <a:prstGeom prst="rect">
                      <a:avLst/>
                    </a:prstGeom>
                    <a:noFill/>
                    <a:ln>
                      <a:noFill/>
                    </a:ln>
                  </pic:spPr>
                </pic:pic>
              </a:graphicData>
            </a:graphic>
          </wp:inline>
        </w:drawing>
      </w:r>
    </w:p>
    <w:p w14:paraId="7A0F4F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光谱环示意图</w:t>
      </w:r>
    </w:p>
    <w:p w14:paraId="43B0D9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道具名称：反物质燃料棒</w:t>
      </w:r>
    </w:p>
    <w:p w14:paraId="490AF3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道具介绍：由5个平面组成，每个平面贴有“色标”、“字母”,可以转动，每次转动可以保持其中一面绝对平行向上；</w:t>
      </w:r>
    </w:p>
    <w:p w14:paraId="489304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道具尺寸：110*128*70mm;</w:t>
      </w:r>
    </w:p>
    <w:p w14:paraId="2C84F1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数量：3个</w:t>
      </w:r>
    </w:p>
    <w:p w14:paraId="437DBF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颜色与材质：蓝色金属零件、黑色亚克力</w:t>
      </w:r>
    </w:p>
    <w:p w14:paraId="21D32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drawing>
          <wp:inline distT="0" distB="0" distL="114300" distR="114300">
            <wp:extent cx="2642235" cy="1881505"/>
            <wp:effectExtent l="0" t="0" r="5715" b="4445"/>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9"/>
                    <a:stretch>
                      <a:fillRect/>
                    </a:stretch>
                  </pic:blipFill>
                  <pic:spPr>
                    <a:xfrm>
                      <a:off x="0" y="0"/>
                      <a:ext cx="2642235" cy="1881505"/>
                    </a:xfrm>
                    <a:prstGeom prst="rect">
                      <a:avLst/>
                    </a:prstGeom>
                    <a:noFill/>
                    <a:ln>
                      <a:noFill/>
                    </a:ln>
                  </pic:spPr>
                </pic:pic>
              </a:graphicData>
            </a:graphic>
          </wp:inline>
        </w:drawing>
      </w:r>
    </w:p>
    <w:p w14:paraId="6714E9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反物质燃料棒示意图</w:t>
      </w:r>
    </w:p>
    <w:p w14:paraId="47C8A7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p>
    <w:p w14:paraId="0E5D3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道具名称：战队自制标记物 </w:t>
      </w:r>
    </w:p>
    <w:p w14:paraId="303065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道具介绍：为立体道具，不限制材质，推荐使用激光切割机或 3D 打印机制作而成。高度大于等于120mm，在地面的垂直投影小于等于直径60mm的圆形区域。</w:t>
      </w:r>
    </w:p>
    <w:p w14:paraId="1A5720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道具尺寸：高度≥120mm，垂直投影面积≤直径60mm的圆形区域</w:t>
      </w:r>
    </w:p>
    <w:p w14:paraId="3E1D5C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颜色与材质：不限制颜色与材质</w:t>
      </w:r>
    </w:p>
    <w:p w14:paraId="54338D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p>
    <w:p w14:paraId="4FA5C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1"/>
          <w:szCs w:val="21"/>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任务道具</w:t>
      </w:r>
    </w:p>
    <w:p w14:paraId="5F6D8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道具名称：物流配送器 </w:t>
      </w:r>
    </w:p>
    <w:p w14:paraId="688BAD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道具介绍：由蓝色金属零件搭建而成的异形结构，其中有一部分可以平行 运动的放置平台会放置一个黄色方块和黄色K方块</w:t>
      </w:r>
    </w:p>
    <w:p w14:paraId="7D31B7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道具尺寸：165*96*176mm（长、宽、高）</w:t>
      </w:r>
    </w:p>
    <w:p w14:paraId="2702E9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14:paraId="25E89F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p>
    <w:p w14:paraId="4B8464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黑体" w:hAnsi="黑体" w:eastAsia="黑体" w:cs="黑体"/>
          <w:color w:val="000000" w:themeColor="text1"/>
          <w:sz w:val="21"/>
          <w:szCs w:val="21"/>
          <w:lang w:val="en-US" w:eastAsia="zh-CN"/>
          <w14:textFill>
            <w14:solidFill>
              <w14:schemeClr w14:val="tx1"/>
            </w14:solidFill>
          </w14:textFill>
        </w:rPr>
      </w:pPr>
      <w:r>
        <w:drawing>
          <wp:inline distT="0" distB="0" distL="114300" distR="114300">
            <wp:extent cx="3764915" cy="1548765"/>
            <wp:effectExtent l="0" t="0" r="6985" b="13335"/>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20"/>
                    <a:stretch>
                      <a:fillRect/>
                    </a:stretch>
                  </pic:blipFill>
                  <pic:spPr>
                    <a:xfrm>
                      <a:off x="0" y="0"/>
                      <a:ext cx="3764915" cy="1548765"/>
                    </a:xfrm>
                    <a:prstGeom prst="rect">
                      <a:avLst/>
                    </a:prstGeom>
                    <a:noFill/>
                    <a:ln>
                      <a:noFill/>
                    </a:ln>
                  </pic:spPr>
                </pic:pic>
              </a:graphicData>
            </a:graphic>
          </wp:inline>
        </w:drawing>
      </w:r>
    </w:p>
    <w:p w14:paraId="72C7BF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物流配送器示意图</w:t>
      </w:r>
    </w:p>
    <w:p w14:paraId="62CAD3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color w:val="000000" w:themeColor="text1"/>
          <w14:textFill>
            <w14:solidFill>
              <w14:schemeClr w14:val="tx1"/>
            </w14:solidFill>
          </w14:textFill>
        </w:rPr>
      </w:pPr>
    </w:p>
    <w:p w14:paraId="1FC1DE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道具名称：高制造台</w:t>
      </w:r>
    </w:p>
    <w:p w14:paraId="5E6514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道具介绍：由蓝色零件以及黑色亚克力组成其平台可放置最大边长为70mm的方块，其底座不可移动；</w:t>
      </w:r>
    </w:p>
    <w:p w14:paraId="17E1C3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道具尺寸：96*96*100mm</w:t>
      </w:r>
    </w:p>
    <w:p w14:paraId="729819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14:paraId="29B1C7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p>
    <w:p w14:paraId="36451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color w:val="000000" w:themeColor="text1"/>
          <w14:textFill>
            <w14:solidFill>
              <w14:schemeClr w14:val="tx1"/>
            </w14:solidFill>
          </w14:textFill>
        </w:rPr>
      </w:pPr>
      <w:r>
        <w:rPr>
          <w:rFonts w:hint="eastAsia" w:ascii="思源黑体 CN Heavy" w:hAnsi="思源黑体 CN Heavy" w:eastAsia="思源黑体 CN Heavy" w:cs="微软雅黑"/>
          <w:b/>
          <w:sz w:val="24"/>
          <w:szCs w:val="21"/>
          <w:lang w:val="zh-CN"/>
        </w:rPr>
        <w:drawing>
          <wp:inline distT="0" distB="0" distL="114300" distR="114300">
            <wp:extent cx="1911350" cy="211074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cstate="print">
                      <a:extLst>
                        <a:ext uri="{28A0092B-C50C-407E-A947-70E740481C1C}">
                          <a14:useLocalDpi xmlns:a14="http://schemas.microsoft.com/office/drawing/2010/main" val="0"/>
                        </a:ext>
                      </a:extLst>
                    </a:blip>
                    <a:srcRect l="25072" r="25072"/>
                    <a:stretch>
                      <a:fillRect/>
                    </a:stretch>
                  </pic:blipFill>
                  <pic:spPr>
                    <a:xfrm>
                      <a:off x="0" y="0"/>
                      <a:ext cx="1911350" cy="2110740"/>
                    </a:xfrm>
                    <a:prstGeom prst="rect">
                      <a:avLst/>
                    </a:prstGeom>
                  </pic:spPr>
                </pic:pic>
              </a:graphicData>
            </a:graphic>
          </wp:inline>
        </w:drawing>
      </w:r>
    </w:p>
    <w:p w14:paraId="2A1392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高制造台示意图</w:t>
      </w:r>
    </w:p>
    <w:p w14:paraId="046AA4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14:paraId="5AF0BA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道具名称∶低制造台</w:t>
      </w:r>
    </w:p>
    <w:p w14:paraId="490AE6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道具介绍∶由黑色亚克力组成，底座可以移动，底部粘有引磁片，可以放置在磁铁上；</w:t>
      </w:r>
    </w:p>
    <w:p w14:paraId="42D45D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道具尺寸∶96*96*42mm</w:t>
      </w:r>
    </w:p>
    <w:p w14:paraId="2E84BA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颜色与材质∶蓝色金属零件、黑色亚克力</w:t>
      </w:r>
    </w:p>
    <w:p w14:paraId="1B3BA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黑体" w:hAnsi="黑体" w:eastAsia="黑体" w:cs="黑体"/>
          <w:color w:val="000000" w:themeColor="text1"/>
          <w:sz w:val="21"/>
          <w:szCs w:val="21"/>
          <w:lang w:val="en-US" w:eastAsia="zh-CN"/>
          <w14:textFill>
            <w14:solidFill>
              <w14:schemeClr w14:val="tx1"/>
            </w14:solidFill>
          </w14:textFill>
        </w:rPr>
      </w:pPr>
      <w:r>
        <w:rPr>
          <w:rFonts w:hint="eastAsia" w:cs="微软雅黑"/>
          <w:color w:val="000000" w:themeColor="text1"/>
          <w:sz w:val="24"/>
          <w:szCs w:val="21"/>
          <w14:textFill>
            <w14:solidFill>
              <w14:schemeClr w14:val="tx1"/>
            </w14:solidFill>
          </w14:textFill>
        </w:rPr>
        <w:drawing>
          <wp:inline distT="0" distB="0" distL="114300" distR="114300">
            <wp:extent cx="3286125" cy="1808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6125" cy="1808480"/>
                    </a:xfrm>
                    <a:prstGeom prst="rect">
                      <a:avLst/>
                    </a:prstGeom>
                  </pic:spPr>
                </pic:pic>
              </a:graphicData>
            </a:graphic>
          </wp:inline>
        </w:drawing>
      </w:r>
    </w:p>
    <w:p w14:paraId="505AE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低制造台示意图</w:t>
      </w:r>
    </w:p>
    <w:p w14:paraId="77FD2A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 xml:space="preserve">道具名称：资源转换器 </w:t>
      </w:r>
    </w:p>
    <w:p w14:paraId="684961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道具介绍：由蓝色金属和黑色亚克力组成，嵌入方块的底座可以旋转，在底座下放入方块，可以使底座水平；</w:t>
      </w:r>
    </w:p>
    <w:p w14:paraId="7D2B76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道具尺寸：108*124*157 mm</w:t>
      </w:r>
    </w:p>
    <w:p w14:paraId="723B43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bookmarkStart w:id="3" w:name="bookmark58"/>
      <w:bookmarkStart w:id="4" w:name="bookmark60"/>
      <w:bookmarkStart w:id="5" w:name="bookmark59"/>
      <w:r>
        <w:rPr>
          <w:rFonts w:hint="eastAsia" w:ascii="仿宋" w:hAnsi="仿宋" w:eastAsia="仿宋" w:cs="仿宋"/>
          <w:color w:val="000000" w:themeColor="text1"/>
          <w:kern w:val="0"/>
          <w:sz w:val="22"/>
          <w:szCs w:val="22"/>
          <w:lang w:val="en-US" w:eastAsia="zh-CN"/>
          <w14:textFill>
            <w14:solidFill>
              <w14:schemeClr w14:val="tx1"/>
            </w14:solidFill>
          </w14:textFill>
        </w:rPr>
        <w:t>颜色与材质：</w:t>
      </w:r>
      <w:bookmarkEnd w:id="3"/>
      <w:bookmarkEnd w:id="4"/>
      <w:bookmarkEnd w:id="5"/>
      <w:r>
        <w:rPr>
          <w:rFonts w:hint="eastAsia" w:ascii="仿宋" w:hAnsi="仿宋" w:eastAsia="仿宋" w:cs="仿宋"/>
          <w:color w:val="000000" w:themeColor="text1"/>
          <w:kern w:val="0"/>
          <w:sz w:val="22"/>
          <w:szCs w:val="22"/>
          <w:lang w:val="en-US" w:eastAsia="zh-CN"/>
          <w14:textFill>
            <w14:solidFill>
              <w14:schemeClr w14:val="tx1"/>
            </w14:solidFill>
          </w14:textFill>
        </w:rPr>
        <w:t>蓝色金属零件、黑色亚克力</w:t>
      </w:r>
    </w:p>
    <w:p w14:paraId="79BB2A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color w:val="000000" w:themeColor="text1"/>
          <w14:textFill>
            <w14:solidFill>
              <w14:schemeClr w14:val="tx1"/>
            </w14:solidFill>
          </w14:textFill>
        </w:rPr>
      </w:pPr>
      <w:r>
        <w:rPr>
          <w:rFonts w:hint="eastAsia" w:ascii="思源黑体 CN Heavy" w:hAnsi="思源黑体 CN Heavy" w:eastAsia="思源黑体 CN Heavy"/>
          <w:b/>
        </w:rPr>
        <w:drawing>
          <wp:inline distT="0" distB="0" distL="114300" distR="114300">
            <wp:extent cx="4705985" cy="12674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05985" cy="1267460"/>
                    </a:xfrm>
                    <a:prstGeom prst="rect">
                      <a:avLst/>
                    </a:prstGeom>
                  </pic:spPr>
                </pic:pic>
              </a:graphicData>
            </a:graphic>
          </wp:inline>
        </w:drawing>
      </w:r>
    </w:p>
    <w:p w14:paraId="2CB7FB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sz w:val="21"/>
          <w:szCs w:val="21"/>
          <w:u w:val="none"/>
          <w:shd w:val="clear" w:color="auto" w:fill="auto"/>
          <w:lang w:val="en-US" w:eastAsia="zh-CN"/>
          <w14:textFill>
            <w14:solidFill>
              <w14:schemeClr w14:val="tx1"/>
            </w14:solidFill>
          </w14:textFill>
        </w:rPr>
        <w:t>资源转换器</w:t>
      </w: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示意图</w:t>
      </w:r>
    </w:p>
    <w:p w14:paraId="36FEC2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道具名称：高速分拣器</w:t>
      </w:r>
    </w:p>
    <w:p w14:paraId="0B89B7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道具介绍：由蓝色金属零件搭建而成的异形结构；带有滑轨装置，可以将低阶放置台放置在滑轨上进行左右滑动;</w:t>
      </w:r>
    </w:p>
    <w:p w14:paraId="6C5A39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 xml:space="preserve">道具尺寸：276*96*123 mm </w:t>
      </w:r>
    </w:p>
    <w:p w14:paraId="2ABC4B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颜色与材质：蓝色金属零件</w:t>
      </w:r>
    </w:p>
    <w:p w14:paraId="66D115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drawing>
          <wp:inline distT="0" distB="0" distL="114300" distR="114300">
            <wp:extent cx="5008245" cy="1791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008245" cy="1791970"/>
                    </a:xfrm>
                    <a:prstGeom prst="rect">
                      <a:avLst/>
                    </a:prstGeom>
                    <a:noFill/>
                    <a:ln>
                      <a:noFill/>
                    </a:ln>
                  </pic:spPr>
                </pic:pic>
              </a:graphicData>
            </a:graphic>
          </wp:inline>
        </w:drawing>
      </w:r>
    </w:p>
    <w:p w14:paraId="53229C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高速分拣器示意图</w:t>
      </w:r>
    </w:p>
    <w:p w14:paraId="775E92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道具名称：磁力信标</w:t>
      </w:r>
    </w:p>
    <w:p w14:paraId="248971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道具介绍：由磁力贴及红、蓝、黄三色贴纸组成；</w:t>
      </w:r>
    </w:p>
    <w:p w14:paraId="7CB755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道具尺寸：43mm*56mm*2mm</w:t>
      </w:r>
    </w:p>
    <w:p w14:paraId="302D65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default" w:ascii="仿宋" w:hAnsi="仿宋" w:eastAsia="仿宋" w:cs="仿宋"/>
          <w:color w:val="000000" w:themeColor="text1"/>
          <w:kern w:val="0"/>
          <w:sz w:val="22"/>
          <w:szCs w:val="22"/>
          <w:lang w:val="en-US" w:eastAsia="zh-CN"/>
          <w14:textFill>
            <w14:solidFill>
              <w14:schemeClr w14:val="tx1"/>
            </w14:solidFill>
          </w14:textFill>
        </w:rPr>
      </w:pPr>
      <w:r>
        <w:rPr>
          <w:rFonts w:hint="eastAsia" w:ascii="仿宋" w:hAnsi="仿宋" w:eastAsia="仿宋" w:cs="仿宋"/>
          <w:color w:val="000000" w:themeColor="text1"/>
          <w:kern w:val="0"/>
          <w:sz w:val="22"/>
          <w:szCs w:val="22"/>
          <w:lang w:val="en-US" w:eastAsia="zh-CN"/>
          <w14:textFill>
            <w14:solidFill>
              <w14:schemeClr w14:val="tx1"/>
            </w14:solidFill>
          </w14:textFill>
        </w:rPr>
        <w:t>颜色与材质：红/蓝/黄色贴纸、磁力贴</w:t>
      </w:r>
    </w:p>
    <w:p w14:paraId="6C3944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rPr>
          <w:position w:val="-26"/>
        </w:rPr>
        <w:drawing>
          <wp:inline distT="0" distB="0" distL="0" distR="0">
            <wp:extent cx="3234055" cy="662305"/>
            <wp:effectExtent l="0" t="0" r="4445" b="4445"/>
            <wp:docPr id="86" name="IM 106"/>
            <wp:cNvGraphicFramePr/>
            <a:graphic xmlns:a="http://schemas.openxmlformats.org/drawingml/2006/main">
              <a:graphicData uri="http://schemas.openxmlformats.org/drawingml/2006/picture">
                <pic:pic xmlns:pic="http://schemas.openxmlformats.org/drawingml/2006/picture">
                  <pic:nvPicPr>
                    <pic:cNvPr id="86" name="IM 106"/>
                    <pic:cNvPicPr/>
                  </pic:nvPicPr>
                  <pic:blipFill>
                    <a:blip r:embed="rId25"/>
                    <a:stretch>
                      <a:fillRect/>
                    </a:stretch>
                  </pic:blipFill>
                  <pic:spPr>
                    <a:xfrm>
                      <a:off x="0" y="0"/>
                      <a:ext cx="3234055" cy="662305"/>
                    </a:xfrm>
                    <a:prstGeom prst="rect">
                      <a:avLst/>
                    </a:prstGeom>
                  </pic:spPr>
                </pic:pic>
              </a:graphicData>
            </a:graphic>
          </wp:inline>
        </w:drawing>
      </w:r>
    </w:p>
    <w:p w14:paraId="640F19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磁力信标示意图</w:t>
      </w:r>
    </w:p>
    <w:p w14:paraId="3CD9E6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14:paraId="12FC96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200"/>
        <w:jc w:val="left"/>
        <w:textAlignment w:val="auto"/>
        <w:rPr>
          <w:rFonts w:hint="eastAsia" w:ascii="仿宋" w:hAnsi="仿宋" w:eastAsia="仿宋" w:cs="仿宋"/>
          <w:b/>
          <w:bCs/>
          <w:color w:val="000000" w:themeColor="text1"/>
          <w:kern w:val="0"/>
          <w:sz w:val="22"/>
          <w:szCs w:val="22"/>
          <w:lang w:val="en-US" w:eastAsia="zh-CN"/>
          <w14:textFill>
            <w14:solidFill>
              <w14:schemeClr w14:val="tx1"/>
            </w14:solidFill>
          </w14:textFill>
        </w:rPr>
      </w:pPr>
      <w:r>
        <w:rPr>
          <w:rFonts w:hint="eastAsia" w:ascii="仿宋" w:hAnsi="仿宋" w:eastAsia="仿宋" w:cs="仿宋"/>
          <w:b/>
          <w:bCs/>
          <w:color w:val="000000" w:themeColor="text1"/>
          <w:kern w:val="0"/>
          <w:sz w:val="22"/>
          <w:szCs w:val="22"/>
          <w:lang w:val="en-US" w:eastAsia="zh-CN"/>
          <w14:textFill>
            <w14:solidFill>
              <w14:schemeClr w14:val="tx1"/>
            </w14:solidFill>
          </w14:textFill>
        </w:rPr>
        <w:t>道具名称：矩阵研究站</w:t>
      </w:r>
    </w:p>
    <w:p w14:paraId="059790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道具介绍：由黑色木板以及金属零件搭建而成，在其上方由木板组成可嵌入字母方块的卡槽，可放置9个最大边长为70mm的正方体；</w:t>
      </w:r>
    </w:p>
    <w:p w14:paraId="5EAFF4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 xml:space="preserve">道具尺寸：620*620*110 mm </w:t>
      </w:r>
    </w:p>
    <w:p w14:paraId="66C6C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left"/>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颜色与材质：蓝色金属零件、黑色木板</w:t>
      </w:r>
    </w:p>
    <w:p w14:paraId="18BD54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drawing>
          <wp:inline distT="0" distB="0" distL="114300" distR="114300">
            <wp:extent cx="2476500" cy="1792605"/>
            <wp:effectExtent l="0" t="0" r="0" b="0"/>
            <wp:docPr id="70" name="Draw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1792605"/>
                    </a:xfrm>
                    <a:prstGeom prst="rect">
                      <a:avLst/>
                    </a:prstGeom>
                  </pic:spPr>
                </pic:pic>
              </a:graphicData>
            </a:graphic>
          </wp:inline>
        </w:drawing>
      </w:r>
    </w:p>
    <w:p w14:paraId="676C41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center"/>
        <w:textAlignment w:val="auto"/>
        <w:rPr>
          <w:rFonts w:hint="eastAsia" w:ascii="仿宋" w:hAnsi="仿宋" w:eastAsia="仿宋" w:cs="仿宋"/>
          <w:b w:val="0"/>
          <w:bCs w:val="0"/>
          <w:color w:val="000000" w:themeColor="text1"/>
          <w:kern w:val="0"/>
          <w:sz w:val="22"/>
          <w:szCs w:val="22"/>
          <w:lang w:val="en-US" w:eastAsia="zh-CN"/>
          <w14:textFill>
            <w14:solidFill>
              <w14:schemeClr w14:val="tx1"/>
            </w14:solidFill>
          </w14:textFill>
        </w:rPr>
      </w:pPr>
      <w:r>
        <w:rPr>
          <w:rFonts w:hint="eastAsia" w:ascii="仿宋" w:hAnsi="仿宋" w:eastAsia="仿宋" w:cs="仿宋"/>
          <w:b w:val="0"/>
          <w:bCs w:val="0"/>
          <w:color w:val="000000" w:themeColor="text1"/>
          <w:kern w:val="0"/>
          <w:sz w:val="22"/>
          <w:szCs w:val="22"/>
          <w:lang w:val="en-US" w:eastAsia="zh-CN"/>
          <w14:textFill>
            <w14:solidFill>
              <w14:schemeClr w14:val="tx1"/>
            </w14:solidFill>
          </w14:textFill>
        </w:rPr>
        <w:t>矩阵研究站示意图</w:t>
      </w:r>
    </w:p>
    <w:p w14:paraId="2355B9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b/>
          <w:bCs/>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ab/>
      </w:r>
      <w:r>
        <w:rPr>
          <w:rFonts w:hint="eastAsia" w:ascii="仿宋" w:hAnsi="仿宋" w:eastAsia="仿宋" w:cs="仿宋"/>
          <w:b/>
          <w:bCs/>
          <w:color w:val="000000" w:themeColor="text1"/>
          <w:kern w:val="0"/>
          <w:sz w:val="22"/>
          <w:szCs w:val="22"/>
          <w:u w:val="none"/>
          <w:shd w:val="clear" w:color="auto" w:fill="auto"/>
          <w:lang w:val="en-US" w:eastAsia="zh-CN"/>
          <w14:textFill>
            <w14:solidFill>
              <w14:schemeClr w14:val="tx1"/>
            </w14:solidFill>
          </w14:textFill>
        </w:rPr>
        <w:t>*注：所有场地及道具具有一定的合理公差。</w:t>
      </w:r>
    </w:p>
    <w:p w14:paraId="175B0A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14:paraId="278974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4.5任务介绍及得分判定</w:t>
      </w:r>
    </w:p>
    <w:p w14:paraId="3D10465E">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比赛任务分为独立任务、合作任务以及可能出现的神秘任务。</w:t>
      </w:r>
    </w:p>
    <w:p w14:paraId="2F6C5D78">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独立任务：M01-M06，独立任务为红蓝方独立完成。</w:t>
      </w:r>
    </w:p>
    <w:p w14:paraId="11CF93E5">
      <w:pPr>
        <w:keepNext w:val="0"/>
        <w:keepLines w:val="0"/>
        <w:widowControl w:val="0"/>
        <w:numPr>
          <w:ilvl w:val="0"/>
          <w:numId w:val="0"/>
        </w:numPr>
        <w:shd w:val="clear" w:color="auto" w:fill="auto"/>
        <w:bidi w:val="0"/>
        <w:spacing w:before="0" w:after="0" w:line="360" w:lineRule="auto"/>
        <w:ind w:left="0" w:right="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合作任务：M07-M09，合作任务可由红蓝双方配合完成。</w:t>
      </w:r>
    </w:p>
    <w:p w14:paraId="6DC8AC18">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3FE1C723">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68480" behindDoc="0" locked="0" layoutInCell="1" allowOverlap="1">
            <wp:simplePos x="0" y="0"/>
            <wp:positionH relativeFrom="column">
              <wp:posOffset>147955</wp:posOffset>
            </wp:positionH>
            <wp:positionV relativeFrom="paragraph">
              <wp:posOffset>159385</wp:posOffset>
            </wp:positionV>
            <wp:extent cx="5551170" cy="5459730"/>
            <wp:effectExtent l="0" t="0" r="11430" b="7620"/>
            <wp:wrapSquare wrapText="bothSides"/>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27"/>
                    <a:stretch>
                      <a:fillRect/>
                    </a:stretch>
                  </pic:blipFill>
                  <pic:spPr>
                    <a:xfrm>
                      <a:off x="0" y="0"/>
                      <a:ext cx="5551170" cy="5459730"/>
                    </a:xfrm>
                    <a:prstGeom prst="rect">
                      <a:avLst/>
                    </a:prstGeom>
                    <a:noFill/>
                    <a:ln>
                      <a:noFill/>
                    </a:ln>
                  </pic:spPr>
                </pic:pic>
              </a:graphicData>
            </a:graphic>
          </wp:anchor>
        </w:drawing>
      </w:r>
    </w:p>
    <w:p w14:paraId="5F6C7056">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自动任务区及手动任务区任务位置示意图</w:t>
      </w:r>
    </w:p>
    <w:p w14:paraId="535BC115">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267B719D">
      <w:pPr>
        <w:keepNext w:val="0"/>
        <w:keepLines w:val="0"/>
        <w:widowControl w:val="0"/>
        <w:numPr>
          <w:ilvl w:val="0"/>
          <w:numId w:val="0"/>
        </w:numPr>
        <w:shd w:val="clear" w:color="auto" w:fill="auto"/>
        <w:bidi w:val="0"/>
        <w:spacing w:before="0" w:after="0" w:line="360" w:lineRule="auto"/>
        <w:ind w:leftChars="0" w:right="0" w:rightChars="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单场比赛中，战队需完成6个独立任务、3个合作任务，如下表所示：</w:t>
      </w:r>
    </w:p>
    <w:p w14:paraId="1699B44B">
      <w:pPr>
        <w:keepNext w:val="0"/>
        <w:keepLines w:val="0"/>
        <w:widowControl w:val="0"/>
        <w:numPr>
          <w:ilvl w:val="0"/>
          <w:numId w:val="0"/>
        </w:numPr>
        <w:shd w:val="clear" w:color="auto" w:fill="auto"/>
        <w:bidi w:val="0"/>
        <w:spacing w:before="0" w:after="0" w:line="360" w:lineRule="auto"/>
        <w:ind w:leftChars="0" w:right="0" w:rightChars="0" w:firstLine="440" w:firstLineChars="2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tbl>
      <w:tblPr>
        <w:tblStyle w:val="6"/>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410"/>
        <w:gridCol w:w="1843"/>
        <w:gridCol w:w="4059"/>
      </w:tblGrid>
      <w:tr w14:paraId="5C0A43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Align w:val="center"/>
          </w:tcPr>
          <w:p w14:paraId="4506AE6C">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阶段及时间</w:t>
            </w:r>
          </w:p>
        </w:tc>
        <w:tc>
          <w:tcPr>
            <w:tcW w:w="1843" w:type="dxa"/>
            <w:vAlign w:val="center"/>
          </w:tcPr>
          <w:p w14:paraId="27D64E10">
            <w:pPr>
              <w:jc w:val="center"/>
              <w:rPr>
                <w:rFonts w:hint="eastAsia" w:ascii="仿宋" w:hAnsi="仿宋" w:eastAsia="仿宋" w:cs="仿宋"/>
                <w:b/>
                <w:bCs/>
                <w:color w:val="000000" w:themeColor="text1"/>
                <w:szCs w:val="20"/>
                <w14:textFill>
                  <w14:solidFill>
                    <w14:schemeClr w14:val="tx1"/>
                  </w14:solidFill>
                </w14:textFill>
              </w:rPr>
            </w:pPr>
            <w:r>
              <w:rPr>
                <w:rFonts w:hint="eastAsia" w:ascii="仿宋" w:hAnsi="仿宋" w:eastAsia="仿宋" w:cs="仿宋"/>
                <w:b/>
                <w:bCs/>
                <w:color w:val="000000" w:themeColor="text1"/>
                <w:szCs w:val="20"/>
                <w14:textFill>
                  <w14:solidFill>
                    <w14:schemeClr w14:val="tx1"/>
                  </w14:solidFill>
                </w14:textFill>
              </w:rPr>
              <w:t>任务类型</w:t>
            </w:r>
          </w:p>
        </w:tc>
        <w:tc>
          <w:tcPr>
            <w:tcW w:w="4059" w:type="dxa"/>
            <w:vAlign w:val="center"/>
          </w:tcPr>
          <w:p w14:paraId="31253FCE">
            <w:pPr>
              <w:jc w:val="center"/>
              <w:rPr>
                <w:rFonts w:hint="eastAsia" w:ascii="仿宋" w:hAnsi="仿宋" w:eastAsia="仿宋" w:cs="仿宋"/>
                <w:b/>
                <w:bCs/>
                <w:color w:val="000000" w:themeColor="text1"/>
                <w:szCs w:val="20"/>
                <w14:textFill>
                  <w14:solidFill>
                    <w14:schemeClr w14:val="tx1"/>
                  </w14:solidFill>
                </w14:textFill>
              </w:rPr>
            </w:pPr>
            <w:r>
              <w:rPr>
                <w:rFonts w:hint="eastAsia" w:ascii="仿宋" w:hAnsi="仿宋" w:eastAsia="仿宋" w:cs="仿宋"/>
                <w:b/>
                <w:bCs/>
                <w:color w:val="000000" w:themeColor="text1"/>
                <w:szCs w:val="20"/>
                <w14:textFill>
                  <w14:solidFill>
                    <w14:schemeClr w14:val="tx1"/>
                  </w14:solidFill>
                </w14:textFill>
              </w:rPr>
              <w:t>比赛任务</w:t>
            </w:r>
          </w:p>
        </w:tc>
      </w:tr>
      <w:tr w14:paraId="49F811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restart"/>
            <w:vAlign w:val="center"/>
          </w:tcPr>
          <w:p w14:paraId="4B23625B">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自动控制阶段</w:t>
            </w:r>
          </w:p>
          <w:p w14:paraId="0B93D37B">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（x秒，0&lt;x≤240）</w:t>
            </w:r>
          </w:p>
        </w:tc>
        <w:tc>
          <w:tcPr>
            <w:tcW w:w="1843" w:type="dxa"/>
            <w:vMerge w:val="restart"/>
            <w:vAlign w:val="center"/>
          </w:tcPr>
          <w:p w14:paraId="60AD18CC">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独立任务</w:t>
            </w:r>
          </w:p>
        </w:tc>
        <w:tc>
          <w:tcPr>
            <w:tcW w:w="4059" w:type="dxa"/>
            <w:vAlign w:val="center"/>
          </w:tcPr>
          <w:p w14:paraId="2B31FFB0">
            <w:pPr>
              <w:pStyle w:val="20"/>
              <w:ind w:firstLine="0"/>
              <w:jc w:val="center"/>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 xml:space="preserve">M01 </w:t>
            </w:r>
            <w:r>
              <w:rPr>
                <w:rFonts w:hint="eastAsia" w:ascii="仿宋" w:hAnsi="仿宋" w:eastAsia="仿宋" w:cs="仿宋"/>
                <w:color w:val="000000" w:themeColor="text1"/>
                <w:sz w:val="20"/>
                <w:szCs w:val="20"/>
                <w:lang w:val="en-US" w:eastAsia="zh-CN"/>
                <w14:textFill>
                  <w14:solidFill>
                    <w14:schemeClr w14:val="tx1"/>
                  </w14:solidFill>
                </w14:textFill>
              </w:rPr>
              <w:t>拾取晶体</w:t>
            </w:r>
          </w:p>
        </w:tc>
      </w:tr>
      <w:tr w14:paraId="4C8F7F9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14:paraId="69841626">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14:paraId="27D74788">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0FB829B6">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 xml:space="preserve">M02 </w:t>
            </w:r>
            <w:r>
              <w:rPr>
                <w:rFonts w:hint="eastAsia" w:ascii="仿宋" w:hAnsi="仿宋" w:eastAsia="仿宋" w:cs="仿宋"/>
                <w:color w:val="000000" w:themeColor="text1"/>
                <w:sz w:val="20"/>
                <w:szCs w:val="20"/>
                <w:lang w:val="en-US" w:eastAsia="zh-CN"/>
                <w14:textFill>
                  <w14:solidFill>
                    <w14:schemeClr w14:val="tx1"/>
                  </w14:solidFill>
                </w14:textFill>
              </w:rPr>
              <w:t>收集芯片</w:t>
            </w:r>
          </w:p>
        </w:tc>
      </w:tr>
      <w:tr w14:paraId="137BB6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14:paraId="4C55E60F">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14:paraId="5268074F">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4F64DCCF">
            <w:pPr>
              <w:pStyle w:val="20"/>
              <w:ind w:firstLine="0"/>
              <w:jc w:val="center"/>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 xml:space="preserve">M03 </w:t>
            </w:r>
            <w:r>
              <w:rPr>
                <w:rFonts w:hint="eastAsia" w:ascii="仿宋" w:hAnsi="仿宋" w:eastAsia="仿宋" w:cs="仿宋"/>
                <w:color w:val="000000" w:themeColor="text1"/>
                <w:sz w:val="20"/>
                <w:szCs w:val="20"/>
                <w:lang w:val="en-US" w:eastAsia="zh-CN"/>
                <w14:textFill>
                  <w14:solidFill>
                    <w14:schemeClr w14:val="tx1"/>
                  </w14:solidFill>
                </w14:textFill>
              </w:rPr>
              <w:t>光子传输</w:t>
            </w:r>
          </w:p>
        </w:tc>
      </w:tr>
      <w:tr w14:paraId="2C5EB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14:paraId="2A177AFD">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14:paraId="1B4F103B">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4A54FFCE">
            <w:pPr>
              <w:pStyle w:val="20"/>
              <w:ind w:firstLine="0"/>
              <w:jc w:val="center"/>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 xml:space="preserve">M04 </w:t>
            </w:r>
            <w:r>
              <w:rPr>
                <w:rFonts w:hint="eastAsia" w:ascii="仿宋" w:hAnsi="仿宋" w:eastAsia="仿宋" w:cs="仿宋"/>
                <w:color w:val="000000" w:themeColor="text1"/>
                <w:sz w:val="20"/>
                <w:szCs w:val="20"/>
                <w:lang w:val="en-US" w:eastAsia="zh-CN"/>
                <w14:textFill>
                  <w14:solidFill>
                    <w14:schemeClr w14:val="tx1"/>
                  </w14:solidFill>
                </w14:textFill>
              </w:rPr>
              <w:t>开启智库系统</w:t>
            </w:r>
          </w:p>
        </w:tc>
      </w:tr>
      <w:tr w14:paraId="3EED00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14:paraId="1552A21F">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14:paraId="00E23A82">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5742EB91">
            <w:pPr>
              <w:pStyle w:val="20"/>
              <w:ind w:firstLine="0"/>
              <w:jc w:val="center"/>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 xml:space="preserve">M05 </w:t>
            </w:r>
            <w:r>
              <w:rPr>
                <w:rFonts w:hint="eastAsia" w:ascii="仿宋" w:hAnsi="仿宋" w:eastAsia="仿宋" w:cs="仿宋"/>
                <w:color w:val="000000" w:themeColor="text1"/>
                <w:sz w:val="20"/>
                <w:szCs w:val="20"/>
                <w:lang w:val="en-US" w:eastAsia="zh-CN"/>
                <w14:textFill>
                  <w14:solidFill>
                    <w14:schemeClr w14:val="tx1"/>
                  </w14:solidFill>
                </w14:textFill>
              </w:rPr>
              <w:t>转运数据块</w:t>
            </w:r>
          </w:p>
        </w:tc>
      </w:tr>
      <w:tr w14:paraId="3C9DED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Merge w:val="continue"/>
            <w:vAlign w:val="center"/>
          </w:tcPr>
          <w:p w14:paraId="51D6B7C9">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p>
        </w:tc>
        <w:tc>
          <w:tcPr>
            <w:tcW w:w="1843" w:type="dxa"/>
            <w:vMerge w:val="continue"/>
            <w:vAlign w:val="center"/>
          </w:tcPr>
          <w:p w14:paraId="0CC32AD3">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40197086">
            <w:pPr>
              <w:pStyle w:val="20"/>
              <w:ind w:firstLine="0"/>
              <w:jc w:val="center"/>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 xml:space="preserve">M06 </w:t>
            </w:r>
            <w:r>
              <w:rPr>
                <w:rFonts w:hint="eastAsia" w:ascii="仿宋" w:hAnsi="仿宋" w:eastAsia="仿宋" w:cs="仿宋"/>
                <w:color w:val="000000" w:themeColor="text1"/>
                <w:sz w:val="20"/>
                <w:szCs w:val="20"/>
                <w:lang w:val="en-US" w:eastAsia="zh-CN"/>
                <w14:textFill>
                  <w14:solidFill>
                    <w14:schemeClr w14:val="tx1"/>
                  </w14:solidFill>
                </w14:textFill>
              </w:rPr>
              <w:t>分配光谱环</w:t>
            </w:r>
          </w:p>
        </w:tc>
      </w:tr>
      <w:tr w14:paraId="5AB8D54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410" w:type="dxa"/>
            <w:vAlign w:val="center"/>
          </w:tcPr>
          <w:p w14:paraId="2611A99E">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自动控制阶段</w:t>
            </w:r>
          </w:p>
          <w:p w14:paraId="3C211C60">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（x秒，0&lt;x≤240）</w:t>
            </w:r>
          </w:p>
        </w:tc>
        <w:tc>
          <w:tcPr>
            <w:tcW w:w="1843" w:type="dxa"/>
            <w:vMerge w:val="restart"/>
            <w:vAlign w:val="center"/>
          </w:tcPr>
          <w:p w14:paraId="7BD66156">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合作</w:t>
            </w:r>
            <w:r>
              <w:rPr>
                <w:rFonts w:hint="eastAsia" w:ascii="仿宋" w:hAnsi="仿宋" w:eastAsia="仿宋" w:cs="仿宋"/>
                <w:color w:val="000000" w:themeColor="text1"/>
                <w:sz w:val="20"/>
                <w:szCs w:val="20"/>
                <w14:textFill>
                  <w14:solidFill>
                    <w14:schemeClr w14:val="tx1"/>
                  </w14:solidFill>
                </w14:textFill>
              </w:rPr>
              <w:t>任务</w:t>
            </w:r>
          </w:p>
        </w:tc>
        <w:tc>
          <w:tcPr>
            <w:tcW w:w="4059" w:type="dxa"/>
            <w:vAlign w:val="center"/>
          </w:tcPr>
          <w:p w14:paraId="1EF9E0A7">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M07 点燃反物质燃料棒</w:t>
            </w:r>
          </w:p>
        </w:tc>
      </w:tr>
      <w:tr w14:paraId="1F0CBB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40" w:hRule="atLeast"/>
          <w:jc w:val="center"/>
        </w:trPr>
        <w:tc>
          <w:tcPr>
            <w:tcW w:w="2410" w:type="dxa"/>
            <w:vMerge w:val="restart"/>
            <w:vAlign w:val="center"/>
          </w:tcPr>
          <w:p w14:paraId="617C0C2A">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 xml:space="preserve">手动控制阶段 </w:t>
            </w:r>
          </w:p>
          <w:p w14:paraId="4901A9CB">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（240-x 秒）</w:t>
            </w:r>
          </w:p>
        </w:tc>
        <w:tc>
          <w:tcPr>
            <w:tcW w:w="1843" w:type="dxa"/>
            <w:vMerge w:val="continue"/>
            <w:vAlign w:val="center"/>
          </w:tcPr>
          <w:p w14:paraId="102AD94A">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3BC87EA0">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M08 运转矩阵研究站</w:t>
            </w:r>
          </w:p>
        </w:tc>
      </w:tr>
      <w:tr w14:paraId="0486F6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673" w:hRule="atLeast"/>
          <w:jc w:val="center"/>
        </w:trPr>
        <w:tc>
          <w:tcPr>
            <w:tcW w:w="2410" w:type="dxa"/>
            <w:vMerge w:val="continue"/>
            <w:vAlign w:val="center"/>
          </w:tcPr>
          <w:p w14:paraId="40BED6FF">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1843" w:type="dxa"/>
            <w:vMerge w:val="continue"/>
            <w:vAlign w:val="center"/>
          </w:tcPr>
          <w:p w14:paraId="030AD728">
            <w:pPr>
              <w:pStyle w:val="20"/>
              <w:ind w:firstLine="0"/>
              <w:jc w:val="center"/>
              <w:rPr>
                <w:rFonts w:hint="eastAsia" w:ascii="仿宋" w:hAnsi="仿宋" w:eastAsia="仿宋" w:cs="仿宋"/>
                <w:color w:val="000000" w:themeColor="text1"/>
                <w:sz w:val="20"/>
                <w:szCs w:val="20"/>
                <w14:textFill>
                  <w14:solidFill>
                    <w14:schemeClr w14:val="tx1"/>
                  </w14:solidFill>
                </w14:textFill>
              </w:rPr>
            </w:pPr>
          </w:p>
        </w:tc>
        <w:tc>
          <w:tcPr>
            <w:tcW w:w="4059" w:type="dxa"/>
            <w:vAlign w:val="center"/>
          </w:tcPr>
          <w:p w14:paraId="435C4F6B">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M09 摆放战队标记物</w:t>
            </w:r>
          </w:p>
        </w:tc>
      </w:tr>
    </w:tbl>
    <w:p w14:paraId="608C2618">
      <w:pPr>
        <w:pStyle w:val="8"/>
        <w:keepNext w:val="0"/>
        <w:keepLines w:val="0"/>
        <w:widowControl w:val="0"/>
        <w:numPr>
          <w:ilvl w:val="0"/>
          <w:numId w:val="0"/>
        </w:numPr>
        <w:shd w:val="clear" w:color="auto" w:fill="auto"/>
        <w:bidi w:val="0"/>
        <w:spacing w:before="0" w:after="0" w:line="413" w:lineRule="exact"/>
        <w:ind w:leftChars="0" w:right="0" w:rightChars="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7C20238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0F540D80">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M01 拾取晶体</w:t>
      </w:r>
    </w:p>
    <w:p w14:paraId="5E49F0D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w:t>
      </w:r>
    </w:p>
    <w:p w14:paraId="273866A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有机晶体是传感器不可或缺的一部分，而传感器则是保障现代智慧工厂运作的基础设备之一。它可以采集各种工厂数据，如温度、湿度、压力、 振动、电量等，并将这些数据通过互联网传输到工厂数字化管理系统中，利用传感器监测工厂状态。机器人将摆放在资源区的有机晶体(黄色方块)完全移出初始区域。</w:t>
      </w:r>
    </w:p>
    <w:p w14:paraId="6169445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任务初始区域共有4个位置，本方黄色方块的摆放位置由赛前抽 取的道具卡决定，其中一种摆放方式如下图，该得分道具不进行粘贴固定。</w:t>
      </w:r>
    </w:p>
    <w:p w14:paraId="79BF1ED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position w:val="-101"/>
        </w:rPr>
        <w:drawing>
          <wp:anchor distT="0" distB="0" distL="0" distR="0" simplePos="0" relativeHeight="251669504" behindDoc="0" locked="0" layoutInCell="1" allowOverlap="1">
            <wp:simplePos x="0" y="0"/>
            <wp:positionH relativeFrom="column">
              <wp:posOffset>1738630</wp:posOffset>
            </wp:positionH>
            <wp:positionV relativeFrom="paragraph">
              <wp:posOffset>89535</wp:posOffset>
            </wp:positionV>
            <wp:extent cx="2037080" cy="2108200"/>
            <wp:effectExtent l="0" t="0" r="1270" b="6350"/>
            <wp:wrapSquare wrapText="bothSides"/>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28"/>
                    <a:stretch>
                      <a:fillRect/>
                    </a:stretch>
                  </pic:blipFill>
                  <pic:spPr>
                    <a:xfrm>
                      <a:off x="0" y="0"/>
                      <a:ext cx="2037080" cy="2108200"/>
                    </a:xfrm>
                    <a:prstGeom prst="rect">
                      <a:avLst/>
                    </a:prstGeom>
                  </pic:spPr>
                </pic:pic>
              </a:graphicData>
            </a:graphic>
          </wp:anchor>
        </w:drawing>
      </w:r>
    </w:p>
    <w:p w14:paraId="48736DE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03572EB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3AD80B5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265FCE0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22AEA3A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65B492E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077EDD2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5207DF5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2A204E8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7AF43A90">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M01 任务位置示意图</w:t>
      </w:r>
    </w:p>
    <w:p w14:paraId="1BA81CE2">
      <w:pPr>
        <w:pStyle w:val="8"/>
        <w:keepNext w:val="0"/>
        <w:keepLines w:val="0"/>
        <w:widowControl w:val="0"/>
        <w:shd w:val="clear" w:color="auto" w:fill="auto"/>
        <w:bidi w:val="0"/>
        <w:spacing w:before="0" w:after="0" w:line="413" w:lineRule="exact"/>
        <w:ind w:left="0" w:right="0" w:firstLine="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447624D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任务分值</w:t>
      </w:r>
      <w:r>
        <w:rPr>
          <w:rFonts w:hint="eastAsia" w:ascii="仿宋" w:hAnsi="仿宋" w:eastAsia="仿宋" w:cs="仿宋"/>
          <w:i w:val="0"/>
          <w:iCs w:val="0"/>
          <w:color w:val="auto"/>
          <w:kern w:val="0"/>
          <w:sz w:val="22"/>
          <w:szCs w:val="22"/>
          <w:u w:val="none"/>
          <w:shd w:val="clear"/>
          <w:lang w:val="en-US" w:eastAsia="zh-CN" w:bidi="ar-SA"/>
        </w:rPr>
        <w:t>：成功将资源区的黄色方块移出初始区域，计20 分/个。</w:t>
      </w:r>
    </w:p>
    <w:p w14:paraId="79F4B26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b/>
          <w:bCs/>
          <w:i w:val="0"/>
          <w:iCs w:val="0"/>
          <w:color w:val="auto"/>
          <w:kern w:val="0"/>
          <w:sz w:val="22"/>
          <w:szCs w:val="22"/>
          <w:u w:val="none"/>
          <w:shd w:val="clear"/>
          <w:lang w:val="en-US" w:eastAsia="zh-CN" w:bidi="ar-SA"/>
        </w:rPr>
        <w:t>得分判定</w:t>
      </w:r>
      <w:r>
        <w:rPr>
          <w:rFonts w:hint="eastAsia" w:ascii="仿宋" w:hAnsi="仿宋" w:eastAsia="仿宋" w:cs="仿宋"/>
          <w:i w:val="0"/>
          <w:iCs w:val="0"/>
          <w:color w:val="auto"/>
          <w:kern w:val="0"/>
          <w:sz w:val="22"/>
          <w:szCs w:val="22"/>
          <w:u w:val="none"/>
          <w:shd w:val="clear"/>
          <w:lang w:val="en-US" w:eastAsia="zh-CN" w:bidi="ar-SA"/>
        </w:rPr>
        <w:t>：自动控制阶段结束后的计分时刻：</w:t>
      </w:r>
    </w:p>
    <w:p w14:paraId="7291F09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i w:val="0"/>
          <w:iCs w:val="0"/>
          <w:color w:val="auto"/>
          <w:kern w:val="0"/>
          <w:sz w:val="22"/>
          <w:szCs w:val="22"/>
          <w:u w:val="none"/>
          <w:shd w:val="clear"/>
          <w:lang w:val="en-US" w:eastAsia="zh-CN" w:bidi="ar-SA"/>
        </w:rPr>
        <w:t>a.黄色方块的垂直投影完全离开初始区域；</w:t>
      </w:r>
    </w:p>
    <w:p w14:paraId="05F80B3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i w:val="0"/>
          <w:iCs w:val="0"/>
          <w:color w:val="auto"/>
          <w:kern w:val="0"/>
          <w:sz w:val="22"/>
          <w:szCs w:val="22"/>
          <w:u w:val="none"/>
          <w:shd w:val="clear"/>
          <w:lang w:val="en-US" w:eastAsia="zh-CN" w:bidi="ar-SA"/>
        </w:rPr>
        <w:t>b.黄色方块须完全位于场地内；</w:t>
      </w:r>
    </w:p>
    <w:p w14:paraId="1E4B7F6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i w:val="0"/>
          <w:iCs w:val="0"/>
          <w:color w:val="auto"/>
          <w:kern w:val="0"/>
          <w:sz w:val="22"/>
          <w:szCs w:val="22"/>
          <w:u w:val="none"/>
          <w:shd w:val="clear"/>
          <w:lang w:val="en-US" w:eastAsia="zh-CN" w:bidi="ar-SA"/>
        </w:rPr>
        <w:t>c.黄色方块与机器人无直接接触；</w:t>
      </w:r>
    </w:p>
    <w:p w14:paraId="2514E1F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auto"/>
          <w:kern w:val="0"/>
          <w:sz w:val="22"/>
          <w:szCs w:val="22"/>
          <w:u w:val="none"/>
          <w:shd w:val="clear"/>
          <w:lang w:val="en-US" w:eastAsia="zh-CN" w:bidi="ar-SA"/>
        </w:rPr>
      </w:pPr>
      <w:r>
        <w:rPr>
          <w:rFonts w:hint="eastAsia" w:ascii="仿宋" w:hAnsi="仿宋" w:eastAsia="仿宋" w:cs="仿宋"/>
          <w:i w:val="0"/>
          <w:iCs w:val="0"/>
          <w:color w:val="auto"/>
          <w:kern w:val="0"/>
          <w:sz w:val="22"/>
          <w:szCs w:val="22"/>
          <w:u w:val="none"/>
          <w:shd w:val="clear"/>
          <w:lang w:val="en-US" w:eastAsia="zh-CN" w:bidi="ar-SA"/>
        </w:rPr>
        <w:t>以上判定均满足，则对应的黄色方块得分。</w:t>
      </w:r>
    </w:p>
    <w:p w14:paraId="5F3DADA4">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auto"/>
          <w:kern w:val="0"/>
          <w:sz w:val="22"/>
          <w:szCs w:val="22"/>
          <w:u w:val="none"/>
          <w:shd w:val="clear"/>
          <w:lang w:val="en-US" w:eastAsia="zh-CN" w:bidi="ar-SA"/>
        </w:rPr>
      </w:pPr>
      <w:r>
        <w:rPr>
          <w:rFonts w:hint="default" w:ascii="仿宋" w:hAnsi="仿宋" w:eastAsia="仿宋" w:cs="仿宋"/>
          <w:i w:val="0"/>
          <w:iCs w:val="0"/>
          <w:color w:val="auto"/>
          <w:kern w:val="0"/>
          <w:sz w:val="22"/>
          <w:szCs w:val="22"/>
          <w:u w:val="none"/>
          <w:shd w:val="clear"/>
          <w:lang w:val="en-US" w:eastAsia="zh-CN" w:bidi="ar-SA"/>
        </w:rPr>
        <w:t>场地：包括地图以及场地边框内侧和上表面，不包括场地边框外表面、桌面、 地面等。</w:t>
      </w:r>
    </w:p>
    <w:p w14:paraId="1B340A68">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0528" behindDoc="0" locked="0" layoutInCell="1" allowOverlap="1">
            <wp:simplePos x="0" y="0"/>
            <wp:positionH relativeFrom="column">
              <wp:posOffset>487680</wp:posOffset>
            </wp:positionH>
            <wp:positionV relativeFrom="paragraph">
              <wp:posOffset>171450</wp:posOffset>
            </wp:positionV>
            <wp:extent cx="4772025" cy="1173480"/>
            <wp:effectExtent l="0" t="0" r="9525" b="7620"/>
            <wp:wrapSquare wrapText="bothSides"/>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29"/>
                    <a:stretch>
                      <a:fillRect/>
                    </a:stretch>
                  </pic:blipFill>
                  <pic:spPr>
                    <a:xfrm>
                      <a:off x="0" y="0"/>
                      <a:ext cx="4772025" cy="1173480"/>
                    </a:xfrm>
                    <a:prstGeom prst="rect">
                      <a:avLst/>
                    </a:prstGeom>
                    <a:noFill/>
                    <a:ln>
                      <a:noFill/>
                    </a:ln>
                  </pic:spPr>
                </pic:pic>
              </a:graphicData>
            </a:graphic>
          </wp:anchor>
        </w:drawing>
      </w:r>
    </w:p>
    <w:p w14:paraId="02D4E2E3">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2426955D">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622E709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17A6A8F0">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77B99947">
      <w:pPr>
        <w:pStyle w:val="8"/>
        <w:keepNext w:val="0"/>
        <w:keepLines w:val="0"/>
        <w:widowControl w:val="0"/>
        <w:shd w:val="clear" w:color="auto" w:fill="auto"/>
        <w:bidi w:val="0"/>
        <w:spacing w:before="0" w:after="0" w:line="413" w:lineRule="exact"/>
        <w:ind w:right="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1B404789">
      <w:pPr>
        <w:pStyle w:val="8"/>
        <w:keepNext w:val="0"/>
        <w:keepLines w:val="0"/>
        <w:widowControl w:val="0"/>
        <w:shd w:val="clear" w:color="auto" w:fill="auto"/>
        <w:bidi w:val="0"/>
        <w:spacing w:before="0" w:after="0" w:line="413" w:lineRule="exact"/>
        <w:ind w:left="0" w:right="0" w:firstLine="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M01 任务得分判定图</w:t>
      </w:r>
    </w:p>
    <w:p w14:paraId="71A98B8E">
      <w:pPr>
        <w:pStyle w:val="8"/>
        <w:keepNext w:val="0"/>
        <w:keepLines w:val="0"/>
        <w:widowControl w:val="0"/>
        <w:shd w:val="clear" w:color="auto" w:fill="auto"/>
        <w:bidi w:val="0"/>
        <w:spacing w:before="0" w:after="0" w:line="413" w:lineRule="exact"/>
        <w:ind w:left="0" w:right="0" w:firstLine="0"/>
        <w:jc w:val="center"/>
        <w:rPr>
          <w:rFonts w:hint="default"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329CBFD4">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M02收集芯片</w:t>
      </w:r>
    </w:p>
    <w:p w14:paraId="5D2B102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w:t>
      </w:r>
    </w:p>
    <w:p w14:paraId="4ABB826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制造中产生的废物废水需要净化处理，工厂的自动化运转也需要芯片的支持。机器人利用物流配送器(方块推离装置),获取有机晶体和量子芯片，分类处理生产过程中产生的污染物，利用物流配送器，对工厂的成品、污染物、芯片分类。</w:t>
      </w:r>
    </w:p>
    <w:p w14:paraId="023CF0B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物流配送器位于红蓝双方场地启动区的左上角。每个装置平台上都放置有一个黄色方块(黄色方块包括：黄色空白方块、黄色K 方块，黄色K方块放置位置由红、蓝双方在比赛前自行决定)。</w:t>
      </w:r>
    </w:p>
    <w:p w14:paraId="3FE616B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 xml:space="preserve">物流配送器的方块放置平台有一个开放的面，朝向手动区域。物流配送器底 座的两根双孔梁通过磁铁吸附并固定在地图上。物流配送器摆放位置如图所示 </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ab/>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(以蓝方为例),地图上的磁条标识如图所示(标记为a、b、c),物流配送器底座上的圆磁片标识如下图(标记为A、B、C),  其中，圆磁片A 需放置于磁条 a 上标注的红点，圆磁片B 放置于磁条b 上，圆磁片C 放置于磁条c 上 。</w:t>
      </w:r>
    </w:p>
    <w:p w14:paraId="1D697F0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7B0E42A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45F3679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495105A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4ED2407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1552" behindDoc="0" locked="0" layoutInCell="1" allowOverlap="1">
            <wp:simplePos x="0" y="0"/>
            <wp:positionH relativeFrom="column">
              <wp:posOffset>645795</wp:posOffset>
            </wp:positionH>
            <wp:positionV relativeFrom="paragraph">
              <wp:posOffset>92710</wp:posOffset>
            </wp:positionV>
            <wp:extent cx="4306570" cy="2087880"/>
            <wp:effectExtent l="0" t="0" r="17780" b="7620"/>
            <wp:wrapSquare wrapText="bothSides"/>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30"/>
                    <a:stretch>
                      <a:fillRect/>
                    </a:stretch>
                  </pic:blipFill>
                  <pic:spPr>
                    <a:xfrm>
                      <a:off x="0" y="0"/>
                      <a:ext cx="4306570" cy="2087880"/>
                    </a:xfrm>
                    <a:prstGeom prst="rect">
                      <a:avLst/>
                    </a:prstGeom>
                    <a:noFill/>
                    <a:ln>
                      <a:noFill/>
                    </a:ln>
                  </pic:spPr>
                </pic:pic>
              </a:graphicData>
            </a:graphic>
          </wp:anchor>
        </w:drawing>
      </w:r>
    </w:p>
    <w:p w14:paraId="0EF3A49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44832DE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4DDA126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6FF45A5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2111E4FE">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5F973D0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1453012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p>
    <w:p w14:paraId="7CAB1528">
      <w:pPr>
        <w:pStyle w:val="8"/>
        <w:keepNext w:val="0"/>
        <w:keepLines w:val="0"/>
        <w:widowControl w:val="0"/>
        <w:shd w:val="clear" w:color="auto" w:fill="auto"/>
        <w:bidi w:val="0"/>
        <w:spacing w:before="0" w:after="0" w:line="413" w:lineRule="exact"/>
        <w:ind w:right="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0D1E65B7">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2576" behindDoc="0" locked="0" layoutInCell="1" allowOverlap="1">
            <wp:simplePos x="0" y="0"/>
            <wp:positionH relativeFrom="column">
              <wp:posOffset>408305</wp:posOffset>
            </wp:positionH>
            <wp:positionV relativeFrom="paragraph">
              <wp:posOffset>6985</wp:posOffset>
            </wp:positionV>
            <wp:extent cx="4769485" cy="2159635"/>
            <wp:effectExtent l="0" t="0" r="12065" b="12065"/>
            <wp:wrapSquare wrapText="bothSides"/>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31"/>
                    <a:stretch>
                      <a:fillRect/>
                    </a:stretch>
                  </pic:blipFill>
                  <pic:spPr>
                    <a:xfrm>
                      <a:off x="0" y="0"/>
                      <a:ext cx="4769485" cy="2159635"/>
                    </a:xfrm>
                    <a:prstGeom prst="rect">
                      <a:avLst/>
                    </a:prstGeom>
                    <a:noFill/>
                    <a:ln>
                      <a:noFill/>
                    </a:ln>
                  </pic:spPr>
                </pic:pic>
              </a:graphicData>
            </a:graphic>
          </wp:anchor>
        </w:drawing>
      </w:r>
    </w:p>
    <w:p w14:paraId="24D0628D">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5A326670">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268C1DB">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4260F534">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42269401">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756BD109">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35B57C51">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3B59986F">
      <w:pPr>
        <w:pStyle w:val="8"/>
        <w:keepNext w:val="0"/>
        <w:keepLines w:val="0"/>
        <w:widowControl w:val="0"/>
        <w:shd w:val="clear" w:color="auto" w:fill="auto"/>
        <w:bidi w:val="0"/>
        <w:spacing w:before="0" w:after="0" w:line="413" w:lineRule="exact"/>
        <w:ind w:right="0"/>
        <w:jc w:val="both"/>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7160951F">
      <w:pPr>
        <w:pStyle w:val="8"/>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M02 任务位置示意图</w:t>
      </w:r>
    </w:p>
    <w:p w14:paraId="4745063F">
      <w:pPr>
        <w:pStyle w:val="8"/>
        <w:keepNext w:val="0"/>
        <w:keepLines w:val="0"/>
        <w:widowControl w:val="0"/>
        <w:shd w:val="clear" w:color="auto" w:fill="auto"/>
        <w:bidi w:val="0"/>
        <w:spacing w:before="0" w:after="0" w:line="413" w:lineRule="exact"/>
        <w:ind w:right="0"/>
        <w:jc w:val="center"/>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6359379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任务分值：</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每成功从高台上移出一个黄色方块，计20分。</w:t>
      </w:r>
    </w:p>
    <w:p w14:paraId="0C4E248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14:paraId="28A8F2F8">
      <w:pPr>
        <w:pStyle w:val="8"/>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 xml:space="preserve">黄色方块垂直投影完全位于手动任务区内； </w:t>
      </w:r>
    </w:p>
    <w:p w14:paraId="007CE765">
      <w:pPr>
        <w:pStyle w:val="8"/>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黄色方块与方块推离装置无直接接触；</w:t>
      </w:r>
    </w:p>
    <w:p w14:paraId="42BB7DD4">
      <w:pPr>
        <w:pStyle w:val="8"/>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黄色方块与机器人无直接接触；</w:t>
      </w:r>
    </w:p>
    <w:p w14:paraId="61AFE83D">
      <w:pPr>
        <w:pStyle w:val="8"/>
        <w:keepNext w:val="0"/>
        <w:keepLines w:val="0"/>
        <w:widowControl w:val="0"/>
        <w:numPr>
          <w:ilvl w:val="0"/>
          <w:numId w:val="5"/>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方块推离装置保持直立状态；</w:t>
      </w:r>
    </w:p>
    <w:p w14:paraId="272FE880">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以上判定均满足，则对应的黄色方块得分。</w:t>
      </w:r>
    </w:p>
    <w:p w14:paraId="445B0CC6">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39B38416">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M03光子传输</w:t>
      </w:r>
    </w:p>
    <w:p w14:paraId="5F97C03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独立任务</w:t>
      </w:r>
    </w:p>
    <w:p w14:paraId="38B6506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为了使物流系统正常的运作，智库能够源源不断地传输光子能源， 需要将高速分拣器上的红色或蓝色小球移至分拣器的中央位置。</w:t>
      </w:r>
    </w:p>
    <w:p w14:paraId="3476977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：高速分拣器位于靠近中央扁铝一侧，底座的两根双孔梁通过磁铁 吸附并固定在地图上，初始位置如下图所示，两根双孔梁要和地图上的磁条下方 齐平。装有红色/蓝色小球的低制造台放置于高速分拣器的滑车上，滑车的初始位置由赛前抽取的道具卡决定，其中一种摆放方式如下图。</w:t>
      </w:r>
    </w:p>
    <w:p w14:paraId="798D3A07">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3600" behindDoc="0" locked="0" layoutInCell="1" allowOverlap="1">
            <wp:simplePos x="0" y="0"/>
            <wp:positionH relativeFrom="column">
              <wp:posOffset>637540</wp:posOffset>
            </wp:positionH>
            <wp:positionV relativeFrom="paragraph">
              <wp:posOffset>214630</wp:posOffset>
            </wp:positionV>
            <wp:extent cx="4451350" cy="1202690"/>
            <wp:effectExtent l="0" t="0" r="6350" b="16510"/>
            <wp:wrapSquare wrapText="bothSides"/>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32"/>
                    <a:stretch>
                      <a:fillRect/>
                    </a:stretch>
                  </pic:blipFill>
                  <pic:spPr>
                    <a:xfrm>
                      <a:off x="0" y="0"/>
                      <a:ext cx="4451350" cy="1202690"/>
                    </a:xfrm>
                    <a:prstGeom prst="rect">
                      <a:avLst/>
                    </a:prstGeom>
                    <a:noFill/>
                    <a:ln>
                      <a:noFill/>
                    </a:ln>
                  </pic:spPr>
                </pic:pic>
              </a:graphicData>
            </a:graphic>
          </wp:anchor>
        </w:drawing>
      </w:r>
    </w:p>
    <w:p w14:paraId="40342047">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720959C3">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612F1808">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5A86162D">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054713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7607EA21">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M03 任务初始位置示意图</w:t>
      </w:r>
    </w:p>
    <w:p w14:paraId="15AF6E22">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39ABC5D5">
      <w:pPr>
        <w:pStyle w:val="8"/>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任务分值：</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 xml:space="preserve">成功将装有红色/蓝色小球的低制造台挪移到高速分拣器的中间位置，计30分； </w:t>
      </w:r>
    </w:p>
    <w:p w14:paraId="2CC9632F">
      <w:pPr>
        <w:pStyle w:val="8"/>
        <w:keepNext w:val="0"/>
        <w:keepLines w:val="0"/>
        <w:widowControl w:val="0"/>
        <w:numPr>
          <w:ilvl w:val="0"/>
          <w:numId w:val="0"/>
        </w:numPr>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14:paraId="6DFB25E5">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a.装有红色/蓝色小球的低制造台垂直投影完全覆盖双孔梁中间位置的八个孔；</w:t>
      </w:r>
    </w:p>
    <w:p w14:paraId="2F7F77BF">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b.装有红色/蓝色小球的低制造台吸附于滑车上未脱落；</w:t>
      </w:r>
    </w:p>
    <w:p w14:paraId="666823CD">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c.高速分拣器处于直立状态；</w:t>
      </w:r>
    </w:p>
    <w:p w14:paraId="75465F67">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d.机器人与高速分拣器及装有红色/蓝色小球的低制造台无直接接触；</w:t>
      </w:r>
    </w:p>
    <w:p w14:paraId="3577A22C">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以上判定均满足，则对应的小球得分。</w:t>
      </w:r>
    </w:p>
    <w:p w14:paraId="4E13A4AB">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4624" behindDoc="0" locked="0" layoutInCell="1" allowOverlap="1">
            <wp:simplePos x="0" y="0"/>
            <wp:positionH relativeFrom="column">
              <wp:posOffset>386080</wp:posOffset>
            </wp:positionH>
            <wp:positionV relativeFrom="paragraph">
              <wp:posOffset>147320</wp:posOffset>
            </wp:positionV>
            <wp:extent cx="4665980" cy="1297305"/>
            <wp:effectExtent l="0" t="0" r="1270" b="17145"/>
            <wp:wrapSquare wrapText="bothSides"/>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33"/>
                    <a:stretch>
                      <a:fillRect/>
                    </a:stretch>
                  </pic:blipFill>
                  <pic:spPr>
                    <a:xfrm>
                      <a:off x="0" y="0"/>
                      <a:ext cx="4665980" cy="1297305"/>
                    </a:xfrm>
                    <a:prstGeom prst="rect">
                      <a:avLst/>
                    </a:prstGeom>
                    <a:noFill/>
                    <a:ln>
                      <a:noFill/>
                    </a:ln>
                  </pic:spPr>
                </pic:pic>
              </a:graphicData>
            </a:graphic>
          </wp:anchor>
        </w:drawing>
      </w:r>
    </w:p>
    <w:p w14:paraId="05166DBD">
      <w:pPr>
        <w:pStyle w:val="8"/>
        <w:keepNext w:val="0"/>
        <w:keepLines w:val="0"/>
        <w:widowControl w:val="0"/>
        <w:numPr>
          <w:ilvl w:val="0"/>
          <w:numId w:val="0"/>
        </w:numPr>
        <w:shd w:val="clear" w:color="auto" w:fill="auto"/>
        <w:bidi w:val="0"/>
        <w:spacing w:before="0" w:after="0" w:line="413" w:lineRule="exact"/>
        <w:ind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713FB9EB">
      <w:pPr>
        <w:pStyle w:val="8"/>
        <w:keepNext w:val="0"/>
        <w:keepLines w:val="0"/>
        <w:widowControl w:val="0"/>
        <w:numPr>
          <w:ilvl w:val="0"/>
          <w:numId w:val="0"/>
        </w:numPr>
        <w:shd w:val="clear" w:color="auto" w:fill="auto"/>
        <w:bidi w:val="0"/>
        <w:spacing w:before="0" w:after="0" w:line="413" w:lineRule="exact"/>
        <w:ind w:right="0" w:firstLine="48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08B55361">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6AE6CB66">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05ECA77A">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4CD7E6D7">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M03 任务得分判定图</w:t>
      </w:r>
    </w:p>
    <w:p w14:paraId="4AD557FD">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63D75147">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M04开启智库系统</w:t>
      </w:r>
    </w:p>
    <w:p w14:paraId="6C895E8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独立任务</w:t>
      </w:r>
    </w:p>
    <w:p w14:paraId="7F7EEED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数据块收集完成，物流智库系统等待被唤醒，只有开启系统才能确保一系列运作正常进行。但是智库开启需要输入特定的密码，这需要采集转运区中的数据块(红色或蓝色字母方块)放置于密码填充区的高制造台上， 用于后续使用。</w:t>
      </w:r>
    </w:p>
    <w:p w14:paraId="310C82FC">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转运区位于自动任务区中央靠近下方边框位置，密码填充区的高制造台，其四个支柱通过磁吸方式固定在地图上，垂直投影完全位于图中的 虚线框内。转运区的虚线框内各自摆放一个红色/蓝色字母方块，字母方块“M” 或 “X”字母的朝向由赛前抽取的道具卡决定。</w:t>
      </w:r>
    </w:p>
    <w:p w14:paraId="3EAB9BEF">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75648" behindDoc="0" locked="0" layoutInCell="1" allowOverlap="1">
            <wp:simplePos x="0" y="0"/>
            <wp:positionH relativeFrom="column">
              <wp:posOffset>567055</wp:posOffset>
            </wp:positionH>
            <wp:positionV relativeFrom="paragraph">
              <wp:posOffset>207010</wp:posOffset>
            </wp:positionV>
            <wp:extent cx="4629150" cy="1615440"/>
            <wp:effectExtent l="0" t="0" r="0" b="3810"/>
            <wp:wrapSquare wrapText="bothSides"/>
            <wp:docPr id="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
                    <pic:cNvPicPr>
                      <a:picLocks noChangeAspect="1"/>
                    </pic:cNvPicPr>
                  </pic:nvPicPr>
                  <pic:blipFill>
                    <a:blip r:embed="rId34"/>
                    <a:stretch>
                      <a:fillRect/>
                    </a:stretch>
                  </pic:blipFill>
                  <pic:spPr>
                    <a:xfrm>
                      <a:off x="0" y="0"/>
                      <a:ext cx="4629150" cy="1615440"/>
                    </a:xfrm>
                    <a:prstGeom prst="rect">
                      <a:avLst/>
                    </a:prstGeom>
                    <a:noFill/>
                    <a:ln>
                      <a:noFill/>
                    </a:ln>
                  </pic:spPr>
                </pic:pic>
              </a:graphicData>
            </a:graphic>
          </wp:anchor>
        </w:drawing>
      </w:r>
    </w:p>
    <w:p w14:paraId="09E26C61">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M04 任务位置示意图</w:t>
      </w:r>
    </w:p>
    <w:p w14:paraId="3670F117">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66E7FF2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任务分值：</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成功将字母方块转移至密码填充区的高制造台上，计20分。</w:t>
      </w:r>
    </w:p>
    <w:p w14:paraId="42902AA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14:paraId="4C2B70A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a.红色/蓝色字母方块完全嵌入高制造台中；</w:t>
      </w:r>
    </w:p>
    <w:p w14:paraId="247F860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b.红色/蓝色字母方块垂直投影部分进入密码填充区；</w:t>
      </w:r>
    </w:p>
    <w:p w14:paraId="49C22C3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 机器人不与高制造台和红色/蓝色字母方块直接接触；</w:t>
      </w:r>
    </w:p>
    <w:p w14:paraId="43BF0C5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d.红色/蓝色字母方块“X” 和 “M” 朝向，与任务的初始朝向相同；</w:t>
      </w:r>
    </w:p>
    <w:p w14:paraId="7380B57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f.高制造台处于直立状态；</w:t>
      </w:r>
    </w:p>
    <w:p w14:paraId="1E2DC8D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以上判定均满足，则对应的红色/蓝色字母方块得分。</w:t>
      </w:r>
    </w:p>
    <w:p w14:paraId="0675811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6672" behindDoc="0" locked="0" layoutInCell="1" allowOverlap="1">
            <wp:simplePos x="0" y="0"/>
            <wp:positionH relativeFrom="column">
              <wp:posOffset>303530</wp:posOffset>
            </wp:positionH>
            <wp:positionV relativeFrom="paragraph">
              <wp:posOffset>177800</wp:posOffset>
            </wp:positionV>
            <wp:extent cx="4749165" cy="1923415"/>
            <wp:effectExtent l="0" t="0" r="13335" b="635"/>
            <wp:wrapSquare wrapText="bothSides"/>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35"/>
                    <a:stretch>
                      <a:fillRect/>
                    </a:stretch>
                  </pic:blipFill>
                  <pic:spPr>
                    <a:xfrm>
                      <a:off x="0" y="0"/>
                      <a:ext cx="4749165" cy="1923415"/>
                    </a:xfrm>
                    <a:prstGeom prst="rect">
                      <a:avLst/>
                    </a:prstGeom>
                    <a:noFill/>
                    <a:ln>
                      <a:noFill/>
                    </a:ln>
                  </pic:spPr>
                </pic:pic>
              </a:graphicData>
            </a:graphic>
          </wp:anchor>
        </w:drawing>
      </w:r>
    </w:p>
    <w:p w14:paraId="052D07B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357D781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58351F1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710E886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3C5624C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1E02FFEB">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123B8C2A">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0A124101">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M04 任务得分示意图</w:t>
      </w:r>
    </w:p>
    <w:p w14:paraId="3AD68EAD">
      <w:pPr>
        <w:keepNext w:val="0"/>
        <w:keepLines w:val="0"/>
        <w:widowControl w:val="0"/>
        <w:numPr>
          <w:ilvl w:val="0"/>
          <w:numId w:val="0"/>
        </w:numPr>
        <w:shd w:val="clear" w:color="auto" w:fill="auto"/>
        <w:bidi w:val="0"/>
        <w:spacing w:before="0" w:after="0" w:line="360" w:lineRule="auto"/>
        <w:ind w:left="0" w:right="0" w:firstLine="422" w:firstLineChars="20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M05转运数据块</w:t>
      </w:r>
    </w:p>
    <w:p w14:paraId="7B02D34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独立任务</w:t>
      </w:r>
    </w:p>
    <w:p w14:paraId="01BA970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机器人可以将本方有机晶体(黄色方块)转移至中转区，并嵌入资源转换器下方，使污染处理装置运转处理废物废水，将数据块(红色/蓝色 字母方块)置换出来并转运至手动区；也可通过其他方式，将数据块转运至手动区。</w:t>
      </w:r>
    </w:p>
    <w:p w14:paraId="5275EAB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在自动任务区，红蓝双方各有一个中转区，中转区内有资源转换器，资源转换器内嵌有红色/蓝色字母方块，资源转化器黑色亚克力台一 面抬起，资源转换器初始位置及状态如下图所示。</w:t>
      </w:r>
    </w:p>
    <w:p w14:paraId="5BDFF6B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7696" behindDoc="0" locked="0" layoutInCell="1" allowOverlap="1">
            <wp:simplePos x="0" y="0"/>
            <wp:positionH relativeFrom="column">
              <wp:posOffset>20320</wp:posOffset>
            </wp:positionH>
            <wp:positionV relativeFrom="paragraph">
              <wp:posOffset>153035</wp:posOffset>
            </wp:positionV>
            <wp:extent cx="5554345" cy="2201545"/>
            <wp:effectExtent l="0" t="0" r="8255" b="8255"/>
            <wp:wrapSquare wrapText="bothSides"/>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36"/>
                    <a:stretch>
                      <a:fillRect/>
                    </a:stretch>
                  </pic:blipFill>
                  <pic:spPr>
                    <a:xfrm>
                      <a:off x="0" y="0"/>
                      <a:ext cx="5554345" cy="2201545"/>
                    </a:xfrm>
                    <a:prstGeom prst="rect">
                      <a:avLst/>
                    </a:prstGeom>
                    <a:noFill/>
                    <a:ln>
                      <a:noFill/>
                    </a:ln>
                  </pic:spPr>
                </pic:pic>
              </a:graphicData>
            </a:graphic>
          </wp:anchor>
        </w:drawing>
      </w:r>
    </w:p>
    <w:p w14:paraId="53BEDF33">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成功将资源转换器中的红色/蓝色字母方块转运至手动任务区， 计30分/个；</w:t>
      </w:r>
    </w:p>
    <w:p w14:paraId="409E558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p>
    <w:p w14:paraId="71AFEC4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自动控制阶段结束后的计分时刻，资源转换器中的红色/蓝色字母方块垂直投影完全位于手动任务区内。</w:t>
      </w:r>
    </w:p>
    <w:p w14:paraId="3137724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满足以上判定，则对应的字母方块得分。</w:t>
      </w:r>
    </w:p>
    <w:p w14:paraId="4D4A189C">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520E1193">
      <w:pPr>
        <w:keepNext w:val="0"/>
        <w:keepLines w:val="0"/>
        <w:widowControl w:val="0"/>
        <w:numPr>
          <w:ilvl w:val="0"/>
          <w:numId w:val="0"/>
        </w:numPr>
        <w:shd w:val="clear" w:color="auto" w:fill="auto"/>
        <w:bidi w:val="0"/>
        <w:spacing w:before="0" w:after="0" w:line="360" w:lineRule="auto"/>
        <w:ind w:left="0" w:right="0" w:firstLine="422" w:firstLineChars="20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M06 分配光谱环</w:t>
      </w:r>
    </w:p>
    <w:p w14:paraId="26163B4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独立任务</w:t>
      </w:r>
    </w:p>
    <w:p w14:paraId="141F365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光谱环是利用颜色对现有数据块进行分类整理的标签之一，机器人需将光谱环按照颜色分配到对应的磁力信标方框中，用于后续的数据块识别及分类工作。</w:t>
      </w:r>
    </w:p>
    <w:p w14:paraId="139E590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在自动任务区的中转区及转运区附近，各有1个光谱环放置区， 红方光谱环放置区为靠近中转区，蓝方光谱环放置区为靠近转运区。光谱环颜色堆叠顺序与磁力色标排布顺序由赛前抽取的道具卡决定，三色磁力信标位置如图所示，长边的右侧与地图磁力条右侧齐平。【例：磁力色标从上至下(启动区) 为：红黄蓝，那么对应的光谱环堆叠顺序为红黄蓝(从上至下)】</w:t>
      </w:r>
    </w:p>
    <w:p w14:paraId="04B5E43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5FE5B61">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0B308FF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78BDA4A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0B3DC45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position w:val="-80"/>
        </w:rPr>
        <w:drawing>
          <wp:anchor distT="0" distB="0" distL="0" distR="0" simplePos="0" relativeHeight="251678720" behindDoc="0" locked="0" layoutInCell="1" allowOverlap="1">
            <wp:simplePos x="0" y="0"/>
            <wp:positionH relativeFrom="column">
              <wp:posOffset>583565</wp:posOffset>
            </wp:positionH>
            <wp:positionV relativeFrom="paragraph">
              <wp:posOffset>55880</wp:posOffset>
            </wp:positionV>
            <wp:extent cx="4349115" cy="2101215"/>
            <wp:effectExtent l="0" t="0" r="13335" b="13335"/>
            <wp:wrapSquare wrapText="bothSides"/>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7"/>
                    <a:stretch>
                      <a:fillRect/>
                    </a:stretch>
                  </pic:blipFill>
                  <pic:spPr>
                    <a:xfrm>
                      <a:off x="0" y="0"/>
                      <a:ext cx="4349115" cy="2101215"/>
                    </a:xfrm>
                    <a:prstGeom prst="rect">
                      <a:avLst/>
                    </a:prstGeom>
                  </pic:spPr>
                </pic:pic>
              </a:graphicData>
            </a:graphic>
          </wp:anchor>
        </w:drawing>
      </w:r>
    </w:p>
    <w:p w14:paraId="45DEE36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0722B55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271AEF8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F7F301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B29375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587A5F8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72DF518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003554EE">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42166739">
      <w:pPr>
        <w:pStyle w:val="8"/>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M06 任务初始位置示意图</w:t>
      </w:r>
    </w:p>
    <w:p w14:paraId="0A0D053D">
      <w:pPr>
        <w:pStyle w:val="8"/>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0FDD17A4">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成功分类一个环，计20分/个；</w:t>
      </w:r>
    </w:p>
    <w:p w14:paraId="646E6E92">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14:paraId="500EC4AC">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a.光谱环垂直投影完全处于方框内；</w:t>
      </w:r>
    </w:p>
    <w:p w14:paraId="11EED79E">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b.光谱环颜色与对应磁力色标颜色一致；</w:t>
      </w:r>
    </w:p>
    <w:p w14:paraId="3395854F">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c.机器人不与光谱环直接接触；</w:t>
      </w:r>
    </w:p>
    <w:p w14:paraId="7E9ED40E">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满足以上判定，则对应的光谱环得分。</w:t>
      </w:r>
    </w:p>
    <w:p w14:paraId="71A3BC91">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79744" behindDoc="0" locked="0" layoutInCell="1" allowOverlap="1">
            <wp:simplePos x="0" y="0"/>
            <wp:positionH relativeFrom="column">
              <wp:posOffset>719455</wp:posOffset>
            </wp:positionH>
            <wp:positionV relativeFrom="paragraph">
              <wp:posOffset>231775</wp:posOffset>
            </wp:positionV>
            <wp:extent cx="4340860" cy="2573655"/>
            <wp:effectExtent l="0" t="0" r="2540" b="17145"/>
            <wp:wrapSquare wrapText="bothSides"/>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38"/>
                    <a:stretch>
                      <a:fillRect/>
                    </a:stretch>
                  </pic:blipFill>
                  <pic:spPr>
                    <a:xfrm>
                      <a:off x="0" y="0"/>
                      <a:ext cx="4340860" cy="2573655"/>
                    </a:xfrm>
                    <a:prstGeom prst="rect">
                      <a:avLst/>
                    </a:prstGeom>
                    <a:noFill/>
                    <a:ln>
                      <a:noFill/>
                    </a:ln>
                  </pic:spPr>
                </pic:pic>
              </a:graphicData>
            </a:graphic>
          </wp:anchor>
        </w:drawing>
      </w:r>
    </w:p>
    <w:p w14:paraId="282D9FE8">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76AEFBAE">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336257E3">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76BBE7E6">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7B5F0E0C">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0C65E362">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58E894CE">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2C9B451F">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5034CA6D">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51C61E88">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61CB6C44">
      <w:pPr>
        <w:pStyle w:val="8"/>
        <w:keepNext w:val="0"/>
        <w:keepLines w:val="0"/>
        <w:widowControl w:val="0"/>
        <w:numPr>
          <w:ilvl w:val="0"/>
          <w:numId w:val="0"/>
        </w:numPr>
        <w:shd w:val="clear" w:color="auto" w:fill="auto"/>
        <w:bidi w:val="0"/>
        <w:spacing w:before="0" w:after="0" w:line="413" w:lineRule="exact"/>
        <w:ind w:right="0" w:rightChars="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6361C480">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M07 点燃反物质燃料棒</w:t>
      </w:r>
    </w:p>
    <w:p w14:paraId="29A1745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合作任务</w:t>
      </w:r>
    </w:p>
    <w:p w14:paraId="4E5E9D5C">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反物质燃料棒具有高效、智能、持久的优点，工厂的持续智能运转需要燃料棒助力，机器人自动拨动工厂的反物质燃料棒，使工厂设施有序运转起来。</w:t>
      </w:r>
    </w:p>
    <w:p w14:paraId="60CD233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在自动任务区域中央横向放置3个解码转筒装置，每个转筒有5个面每个面都有特定的色标及字母，其初始的顺序由赛前抽签道具卡决定，其中一种摆放方式如下图； 解码转筒装置需与图中“T”字路口的“|”保持在同一直线上。</w:t>
      </w:r>
    </w:p>
    <w:p w14:paraId="7F7BDE1F">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80768" behindDoc="0" locked="0" layoutInCell="1" allowOverlap="1">
            <wp:simplePos x="0" y="0"/>
            <wp:positionH relativeFrom="column">
              <wp:posOffset>147955</wp:posOffset>
            </wp:positionH>
            <wp:positionV relativeFrom="paragraph">
              <wp:posOffset>154305</wp:posOffset>
            </wp:positionV>
            <wp:extent cx="5558790" cy="1200785"/>
            <wp:effectExtent l="0" t="0" r="3810" b="18415"/>
            <wp:wrapSquare wrapText="bothSides"/>
            <wp:docPr id="1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pic:cNvPicPr>
                      <a:picLocks noChangeAspect="1"/>
                    </pic:cNvPicPr>
                  </pic:nvPicPr>
                  <pic:blipFill>
                    <a:blip r:embed="rId39"/>
                    <a:stretch>
                      <a:fillRect/>
                    </a:stretch>
                  </pic:blipFill>
                  <pic:spPr>
                    <a:xfrm>
                      <a:off x="0" y="0"/>
                      <a:ext cx="5558790" cy="1200785"/>
                    </a:xfrm>
                    <a:prstGeom prst="rect">
                      <a:avLst/>
                    </a:prstGeom>
                    <a:noFill/>
                    <a:ln>
                      <a:noFill/>
                    </a:ln>
                  </pic:spPr>
                </pic:pic>
              </a:graphicData>
            </a:graphic>
          </wp:anchor>
        </w:drawing>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M07 初始任务位置示意图</w:t>
      </w:r>
    </w:p>
    <w:p w14:paraId="46ECFDB8">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347100F6">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任务得分：每个按照正确顺序排列的</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解码转筒，计30分。</w:t>
      </w:r>
    </w:p>
    <w:p w14:paraId="582106A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自动控制阶段结束后的计分时刻：</w:t>
      </w:r>
    </w:p>
    <w:p w14:paraId="7E402F8B">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a.解码筒的顺序需与M04的“X”“M”方块构成正序“MAKEX”或倒序的“XEKAM”；</w:t>
      </w:r>
    </w:p>
    <w:p w14:paraId="3528E49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b.机器人与解码转筒装置不直接接触；</w:t>
      </w:r>
    </w:p>
    <w:p w14:paraId="622A2388">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c.解码转筒装置符合特定顺序关键信息面绝对朝上；</w:t>
      </w:r>
    </w:p>
    <w:p w14:paraId="190B9AF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d.解码转筒装置保持直立状态；</w:t>
      </w:r>
    </w:p>
    <w:p w14:paraId="7DD1130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以上判定均满足，则该任务得分。</w:t>
      </w:r>
    </w:p>
    <w:p w14:paraId="3507CCFA">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注意：如M04任务中密码填充区的“M”、“X”方块均未得分，则任务M07任务的转筒无论处于何种顺序排列，均不得分；若M04任务中，密码填充区仅有一方得分，则任务M07任务的转筒顺序应以M04任务得分方为起点，构成正序或倒序“MakeX”。</w:t>
      </w:r>
    </w:p>
    <w:p w14:paraId="6055EB3F">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7F58228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64384" behindDoc="0" locked="0" layoutInCell="1" allowOverlap="1">
            <wp:simplePos x="0" y="0"/>
            <wp:positionH relativeFrom="margin">
              <wp:posOffset>870585</wp:posOffset>
            </wp:positionH>
            <wp:positionV relativeFrom="paragraph">
              <wp:posOffset>66675</wp:posOffset>
            </wp:positionV>
            <wp:extent cx="4001770" cy="1493520"/>
            <wp:effectExtent l="0" t="0" r="6350" b="0"/>
            <wp:wrapTopAndBottom/>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001770" cy="1493520"/>
                    </a:xfrm>
                    <a:prstGeom prst="rect">
                      <a:avLst/>
                    </a:prstGeom>
                  </pic:spPr>
                </pic:pic>
              </a:graphicData>
            </a:graphic>
          </wp:anchor>
        </w:drawing>
      </w:r>
    </w:p>
    <w:p w14:paraId="5C44DFFC">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M07任务得分示意图</w:t>
      </w:r>
    </w:p>
    <w:p w14:paraId="2979773B">
      <w:pPr>
        <w:pStyle w:val="8"/>
        <w:keepNext w:val="0"/>
        <w:keepLines w:val="0"/>
        <w:widowControl w:val="0"/>
        <w:shd w:val="clear" w:color="auto" w:fill="auto"/>
        <w:bidi w:val="0"/>
        <w:spacing w:before="0" w:after="0" w:line="413" w:lineRule="exact"/>
        <w:ind w:left="0" w:right="0" w:firstLine="480"/>
        <w:jc w:val="cente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p>
    <w:p w14:paraId="21BCAFA0">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M08运转矩阵研究站</w:t>
      </w:r>
    </w:p>
    <w:p w14:paraId="3C816A35">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合作任务</w:t>
      </w:r>
    </w:p>
    <w:p w14:paraId="4BCC6C37">
      <w:pPr>
        <w:pStyle w:val="8"/>
        <w:keepNext w:val="0"/>
        <w:keepLines w:val="0"/>
        <w:widowControl w:val="0"/>
        <w:shd w:val="clear" w:color="auto" w:fill="auto"/>
        <w:bidi w:val="0"/>
        <w:spacing w:before="0" w:after="0" w:line="413" w:lineRule="exact"/>
        <w:ind w:left="0" w:right="0" w:firstLine="480"/>
        <w:jc w:val="left"/>
        <w:rPr>
          <w:rFonts w:hint="default"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工业互联网设备是为了实现工厂数字化管理而设计的，机器人将量子芯片和数据块同时嵌入矩阵研究站中，采集各种工厂数据，如温度、湿度、压力、振动、电量等，并将这些数据通过互联网传输到矩阵研究站，监测工厂运转状态，继续研究智能制造的节能高效方法，促进人类工业制造更上一层路。</w:t>
      </w:r>
    </w:p>
    <w:p w14:paraId="007348D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初始状态</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w:t>
      </w: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在手动任务区内，将会摆放3个红色方块和3个蓝色方块，全部 字母方块均空白面朝上(如图所示),其余红蓝方块取决于红蓝战队能否将对应 道具移到手动任务区内。</w:t>
      </w:r>
    </w:p>
    <w:p w14:paraId="0AAF7F7A">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81792" behindDoc="0" locked="0" layoutInCell="1" allowOverlap="1">
            <wp:simplePos x="0" y="0"/>
            <wp:positionH relativeFrom="column">
              <wp:posOffset>495300</wp:posOffset>
            </wp:positionH>
            <wp:positionV relativeFrom="paragraph">
              <wp:posOffset>160020</wp:posOffset>
            </wp:positionV>
            <wp:extent cx="4752975" cy="3009900"/>
            <wp:effectExtent l="0" t="0" r="9525" b="0"/>
            <wp:wrapSquare wrapText="bothSides"/>
            <wp:docPr id="1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pic:cNvPicPr>
                      <a:picLocks noChangeAspect="1"/>
                    </pic:cNvPicPr>
                  </pic:nvPicPr>
                  <pic:blipFill>
                    <a:blip r:embed="rId41"/>
                    <a:stretch>
                      <a:fillRect/>
                    </a:stretch>
                  </pic:blipFill>
                  <pic:spPr>
                    <a:xfrm>
                      <a:off x="0" y="0"/>
                      <a:ext cx="4752975" cy="3009900"/>
                    </a:xfrm>
                    <a:prstGeom prst="rect">
                      <a:avLst/>
                    </a:prstGeom>
                    <a:noFill/>
                    <a:ln>
                      <a:noFill/>
                    </a:ln>
                  </pic:spPr>
                </pic:pic>
              </a:graphicData>
            </a:graphic>
          </wp:anchor>
        </w:drawing>
      </w:r>
    </w:p>
    <w:p w14:paraId="59AD874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3510C7BA">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6E3DAC1F">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49B14FAC">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24BEF880">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29EF3BBF">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29505D2B">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62917D4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032B979D">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3AE48587">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1680ADC">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2D36A097">
      <w:pPr>
        <w:pStyle w:val="8"/>
        <w:keepNext w:val="0"/>
        <w:keepLines w:val="0"/>
        <w:widowControl w:val="0"/>
        <w:shd w:val="clear" w:color="auto" w:fill="auto"/>
        <w:bidi w:val="0"/>
        <w:spacing w:before="0" w:after="0" w:line="413" w:lineRule="exact"/>
        <w:ind w:right="0"/>
        <w:jc w:val="both"/>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p>
    <w:p w14:paraId="14DEE26F">
      <w:pPr>
        <w:pStyle w:val="8"/>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M08 任务初始位置示意图</w:t>
      </w:r>
    </w:p>
    <w:p w14:paraId="3E3FBFF2">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每成功按照顺序颜色嵌入一个方块，计20分；若同一颜色的方块按照顺序完成“MAKEX”嵌入，每组“MAKEX”序列方块额外获得50分。</w:t>
      </w:r>
    </w:p>
    <w:p w14:paraId="11B13C64">
      <w:pPr>
        <w:pStyle w:val="8"/>
        <w:keepNext w:val="0"/>
        <w:keepLines w:val="0"/>
        <w:widowControl w:val="0"/>
        <w:shd w:val="clear" w:color="auto" w:fill="auto"/>
        <w:bidi w:val="0"/>
        <w:spacing w:before="0" w:after="0" w:line="413" w:lineRule="exact"/>
        <w:ind w:right="0" w:firstLine="442"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手动控制阶段结束后的计分时刻：</w:t>
      </w:r>
    </w:p>
    <w:p w14:paraId="14920ADD">
      <w:pPr>
        <w:pStyle w:val="8"/>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a.按照同色、且按照</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图示</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的顺序嵌入矩阵研究站的方块，视为嵌入成功（图中视角为站在手动装载区的视角）;</w:t>
      </w:r>
    </w:p>
    <w:p w14:paraId="18B67E31">
      <w:pPr>
        <w:pStyle w:val="8"/>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b.机器人与红、黄、蓝字母方块和方块嵌入储存架任意部分均不得直接接触；</w:t>
      </w:r>
    </w:p>
    <w:p w14:paraId="525D43E0">
      <w:pPr>
        <w:pStyle w:val="8"/>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c.红、黄、蓝字母方块均完全嵌入至方块嵌入储存架凹槽中；</w:t>
      </w:r>
    </w:p>
    <w:p w14:paraId="6987EFCC">
      <w:pPr>
        <w:pStyle w:val="8"/>
        <w:keepNext w:val="0"/>
        <w:keepLines w:val="0"/>
        <w:widowControl w:val="0"/>
        <w:shd w:val="clear" w:color="auto" w:fill="auto"/>
        <w:bidi w:val="0"/>
        <w:spacing w:before="0" w:after="0" w:line="413" w:lineRule="exact"/>
        <w:ind w:right="0" w:firstLine="440" w:firstLineChars="200"/>
        <w:jc w:val="left"/>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以上判定均满足，则对应的方块得分。</w:t>
      </w:r>
    </w:p>
    <w:p w14:paraId="4768D344">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注：</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比赛选</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手仅可在手动装载区内接触字母方块，但不得手动将方块放置在机器人上；</w:t>
      </w:r>
      <w:r>
        <w:rPr>
          <w:rFonts w:hint="eastAsia"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选</w:t>
      </w: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手在手动装载区不可直接或间接接触机器人。</w:t>
      </w:r>
    </w:p>
    <w:p w14:paraId="43DEF53C">
      <w:pPr>
        <w:pStyle w:val="8"/>
        <w:keepNext w:val="0"/>
        <w:keepLines w:val="0"/>
        <w:widowControl w:val="0"/>
        <w:shd w:val="clear" w:color="auto" w:fill="auto"/>
        <w:bidi w:val="0"/>
        <w:spacing w:before="0" w:after="0" w:line="413" w:lineRule="exact"/>
        <w:ind w:right="0" w:firstLine="400"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drawing>
          <wp:anchor distT="0" distB="0" distL="114300" distR="114300" simplePos="0" relativeHeight="251665408" behindDoc="0" locked="0" layoutInCell="1" allowOverlap="1">
            <wp:simplePos x="0" y="0"/>
            <wp:positionH relativeFrom="margin">
              <wp:posOffset>735330</wp:posOffset>
            </wp:positionH>
            <wp:positionV relativeFrom="paragraph">
              <wp:posOffset>133350</wp:posOffset>
            </wp:positionV>
            <wp:extent cx="4470400" cy="2071370"/>
            <wp:effectExtent l="0" t="0" r="10160" b="127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470400" cy="2071370"/>
                    </a:xfrm>
                    <a:prstGeom prst="rect">
                      <a:avLst/>
                    </a:prstGeom>
                  </pic:spPr>
                </pic:pic>
              </a:graphicData>
            </a:graphic>
          </wp:anchor>
        </w:drawing>
      </w:r>
    </w:p>
    <w:p w14:paraId="353F5026">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M09 摆放战队标记物</w:t>
      </w:r>
    </w:p>
    <w:p w14:paraId="5DC7C59F">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任务类型：</w:t>
      </w:r>
      <w:r>
        <w:rPr>
          <w:rFonts w:hint="eastAsia"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合作</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任务</w:t>
      </w:r>
    </w:p>
    <w:p w14:paraId="7FD14A88">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任务内容：</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标记物可以很好地帮助制造人员快速运转工厂的智能制造系统，机器人需要搬运并摆放标记物到标记区。</w:t>
      </w:r>
    </w:p>
    <w:p w14:paraId="19C2B743">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初始位置：</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 xml:space="preserve">比赛开始前，选手将战队标记物放置在手动装载区两侧的方形标记区（战队标记物垂直投影完全处于方形标记区内），战队标记物为选手自制道具(战队标记物的制作尺寸要求高度≥120mm，垂直投影面积≤直径60mm的圆形区域）； </w:t>
      </w:r>
    </w:p>
    <w:p w14:paraId="203D0CC5">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任务得分：</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成功摆放一个战队标记物，计30 分。</w:t>
      </w:r>
    </w:p>
    <w:p w14:paraId="574B0926">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得分判定：</w:t>
      </w: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手动控制阶段结束后的计分时刻：</w:t>
      </w:r>
    </w:p>
    <w:p w14:paraId="260A611D">
      <w:pPr>
        <w:pStyle w:val="8"/>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a.战队标记物垂直投影完全处于圆形指定区域；</w:t>
      </w:r>
    </w:p>
    <w:p w14:paraId="07061985">
      <w:pPr>
        <w:pStyle w:val="8"/>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b.战队标记物保持直立状态，与机器人无直接接触；</w:t>
      </w:r>
    </w:p>
    <w:p w14:paraId="13DCB392">
      <w:pPr>
        <w:pStyle w:val="8"/>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c.战队标记物与场地直接接触；</w:t>
      </w:r>
    </w:p>
    <w:p w14:paraId="5BD02305">
      <w:pPr>
        <w:pStyle w:val="8"/>
        <w:keepNext w:val="0"/>
        <w:keepLines w:val="0"/>
        <w:widowControl w:val="0"/>
        <w:shd w:val="clear" w:color="auto" w:fill="auto"/>
        <w:bidi w:val="0"/>
        <w:spacing w:before="0" w:after="0" w:line="413" w:lineRule="exact"/>
        <w:ind w:right="0" w:firstLine="440" w:firstLineChars="200"/>
        <w:jc w:val="left"/>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val="0"/>
          <w:bCs w:val="0"/>
          <w:i w:val="0"/>
          <w:iCs w:val="0"/>
          <w:color w:val="000000" w:themeColor="text1"/>
          <w:kern w:val="0"/>
          <w:sz w:val="22"/>
          <w:szCs w:val="22"/>
          <w:u w:val="none"/>
          <w:shd w:val="clear"/>
          <w:lang w:val="en-US" w:eastAsia="zh-CN" w:bidi="ar-SA"/>
          <w14:textFill>
            <w14:solidFill>
              <w14:schemeClr w14:val="tx1"/>
            </w14:solidFill>
          </w14:textFill>
        </w:rPr>
        <w:t>以上判定均满足，则对应的战队标记物得分。</w:t>
      </w:r>
    </w:p>
    <w:p w14:paraId="302B5DC7">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r>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t>注：战队标记物不允许直接或间接接触。</w:t>
      </w:r>
    </w:p>
    <w:p w14:paraId="5C71A0F5">
      <w:pPr>
        <w:pStyle w:val="8"/>
        <w:keepNext w:val="0"/>
        <w:keepLines w:val="0"/>
        <w:widowControl w:val="0"/>
        <w:shd w:val="clear" w:color="auto" w:fill="auto"/>
        <w:bidi w:val="0"/>
        <w:spacing w:before="0" w:after="0" w:line="413" w:lineRule="exact"/>
        <w:ind w:right="0" w:firstLine="442" w:firstLineChars="200"/>
        <w:jc w:val="left"/>
        <w:rPr>
          <w:rFonts w:hint="default" w:ascii="仿宋" w:hAnsi="仿宋" w:eastAsia="仿宋" w:cs="仿宋"/>
          <w:b/>
          <w:bCs/>
          <w:i w:val="0"/>
          <w:iCs w:val="0"/>
          <w:color w:val="000000" w:themeColor="text1"/>
          <w:kern w:val="0"/>
          <w:sz w:val="22"/>
          <w:szCs w:val="22"/>
          <w:u w:val="none"/>
          <w:shd w:val="clear"/>
          <w:lang w:val="en-US" w:eastAsia="zh-CN" w:bidi="ar-SA"/>
          <w14:textFill>
            <w14:solidFill>
              <w14:schemeClr w14:val="tx1"/>
            </w14:solidFill>
          </w14:textFill>
        </w:rPr>
      </w:pPr>
    </w:p>
    <w:p w14:paraId="176683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4.6计分说明</w:t>
      </w:r>
    </w:p>
    <w:p w14:paraId="07972CF7">
      <w:pPr>
        <w:pStyle w:val="8"/>
        <w:keepNext w:val="0"/>
        <w:keepLines w:val="0"/>
        <w:pageBreakBefore w:val="0"/>
        <w:widowControl w:val="0"/>
        <w:numPr>
          <w:ilvl w:val="-1"/>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全场比赛中，裁判只在两个计分时刻进行计分，分别是自动控制阶段结束后和手动控制阶段结束后。在比赛过程中，裁判会实时监控比赛进程，记录违例的情况。</w:t>
      </w:r>
    </w:p>
    <w:p w14:paraId="522F6067">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独立任务得分</w:t>
      </w:r>
    </w:p>
    <w:p w14:paraId="5805B3D3">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tbl>
      <w:tblPr>
        <w:tblStyle w:val="26"/>
        <w:tblW w:w="84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32"/>
        <w:gridCol w:w="3266"/>
        <w:gridCol w:w="1288"/>
        <w:gridCol w:w="1403"/>
      </w:tblGrid>
      <w:tr w14:paraId="22913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2532" w:type="dxa"/>
            <w:vAlign w:val="top"/>
          </w:tcPr>
          <w:p w14:paraId="0ED9781A">
            <w:pPr>
              <w:pStyle w:val="25"/>
              <w:spacing w:before="191" w:line="219" w:lineRule="auto"/>
              <w:ind w:left="818"/>
              <w:rPr>
                <w:rFonts w:hint="eastAsia" w:ascii="仿宋" w:hAnsi="仿宋" w:eastAsia="仿宋" w:cs="仿宋"/>
                <w:sz w:val="22"/>
                <w:szCs w:val="22"/>
              </w:rPr>
            </w:pPr>
            <w:r>
              <w:rPr>
                <w:rFonts w:hint="eastAsia" w:ascii="仿宋" w:hAnsi="仿宋" w:eastAsia="仿宋" w:cs="仿宋"/>
                <w:b/>
                <w:bCs/>
                <w:spacing w:val="-2"/>
                <w:sz w:val="22"/>
                <w:szCs w:val="22"/>
              </w:rPr>
              <w:t>比赛任务</w:t>
            </w:r>
          </w:p>
        </w:tc>
        <w:tc>
          <w:tcPr>
            <w:tcW w:w="3266" w:type="dxa"/>
            <w:vAlign w:val="top"/>
          </w:tcPr>
          <w:p w14:paraId="3D4E1F1B">
            <w:pPr>
              <w:pStyle w:val="25"/>
              <w:spacing w:before="191" w:line="219" w:lineRule="auto"/>
              <w:ind w:left="1186"/>
              <w:rPr>
                <w:rFonts w:hint="eastAsia" w:ascii="仿宋" w:hAnsi="仿宋" w:eastAsia="仿宋" w:cs="仿宋"/>
                <w:sz w:val="22"/>
                <w:szCs w:val="22"/>
              </w:rPr>
            </w:pPr>
            <w:r>
              <w:rPr>
                <w:rFonts w:hint="eastAsia" w:ascii="仿宋" w:hAnsi="仿宋" w:eastAsia="仿宋" w:cs="仿宋"/>
                <w:b/>
                <w:bCs/>
                <w:spacing w:val="-5"/>
                <w:sz w:val="22"/>
                <w:szCs w:val="22"/>
              </w:rPr>
              <w:t>得分道具</w:t>
            </w:r>
          </w:p>
        </w:tc>
        <w:tc>
          <w:tcPr>
            <w:tcW w:w="1288" w:type="dxa"/>
            <w:vAlign w:val="top"/>
          </w:tcPr>
          <w:p w14:paraId="11918D64">
            <w:pPr>
              <w:pStyle w:val="25"/>
              <w:spacing w:before="191" w:line="219" w:lineRule="auto"/>
              <w:jc w:val="right"/>
              <w:rPr>
                <w:rFonts w:hint="eastAsia" w:ascii="仿宋" w:hAnsi="仿宋" w:eastAsia="仿宋" w:cs="仿宋"/>
                <w:sz w:val="22"/>
                <w:szCs w:val="22"/>
              </w:rPr>
            </w:pPr>
            <w:r>
              <w:rPr>
                <w:rFonts w:hint="eastAsia" w:ascii="仿宋" w:hAnsi="仿宋" w:eastAsia="仿宋" w:cs="仿宋"/>
                <w:b/>
                <w:bCs/>
                <w:spacing w:val="-14"/>
                <w:sz w:val="22"/>
                <w:szCs w:val="22"/>
              </w:rPr>
              <w:t>单个道</w:t>
            </w:r>
            <w:r>
              <w:rPr>
                <w:rFonts w:hint="eastAsia" w:ascii="仿宋" w:hAnsi="仿宋" w:eastAsia="仿宋" w:cs="仿宋"/>
                <w:b/>
                <w:bCs/>
                <w:spacing w:val="-13"/>
                <w:sz w:val="22"/>
                <w:szCs w:val="22"/>
              </w:rPr>
              <w:t>具得</w:t>
            </w:r>
            <w:r>
              <w:rPr>
                <w:rFonts w:hint="eastAsia" w:ascii="仿宋" w:hAnsi="仿宋" w:eastAsia="仿宋" w:cs="仿宋"/>
                <w:b/>
                <w:bCs/>
                <w:spacing w:val="-10"/>
                <w:sz w:val="22"/>
                <w:szCs w:val="22"/>
              </w:rPr>
              <w:t>分</w:t>
            </w:r>
          </w:p>
        </w:tc>
        <w:tc>
          <w:tcPr>
            <w:tcW w:w="1403" w:type="dxa"/>
            <w:vAlign w:val="top"/>
          </w:tcPr>
          <w:p w14:paraId="22746995">
            <w:pPr>
              <w:pStyle w:val="25"/>
              <w:spacing w:before="191" w:line="219" w:lineRule="auto"/>
              <w:ind w:left="42"/>
              <w:rPr>
                <w:rFonts w:hint="eastAsia" w:ascii="仿宋" w:hAnsi="仿宋" w:eastAsia="仿宋" w:cs="仿宋"/>
                <w:sz w:val="22"/>
                <w:szCs w:val="22"/>
              </w:rPr>
            </w:pPr>
            <w:r>
              <w:rPr>
                <w:rFonts w:hint="eastAsia" w:ascii="仿宋" w:hAnsi="仿宋" w:eastAsia="仿宋" w:cs="仿宋"/>
                <w:b/>
                <w:bCs/>
                <w:spacing w:val="-4"/>
                <w:sz w:val="22"/>
                <w:szCs w:val="22"/>
              </w:rPr>
              <w:t>理论最高分值</w:t>
            </w:r>
          </w:p>
        </w:tc>
      </w:tr>
      <w:tr w14:paraId="6F6D3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2532" w:type="dxa"/>
            <w:vAlign w:val="top"/>
          </w:tcPr>
          <w:p w14:paraId="6E7B276F">
            <w:pPr>
              <w:pStyle w:val="25"/>
              <w:spacing w:before="220" w:line="219" w:lineRule="auto"/>
              <w:ind w:left="654"/>
              <w:rPr>
                <w:rFonts w:hint="eastAsia" w:ascii="仿宋" w:hAnsi="仿宋" w:eastAsia="仿宋" w:cs="仿宋"/>
                <w:sz w:val="22"/>
                <w:szCs w:val="22"/>
              </w:rPr>
            </w:pPr>
            <w:r>
              <w:rPr>
                <w:rFonts w:hint="eastAsia" w:ascii="仿宋" w:hAnsi="仿宋" w:eastAsia="仿宋" w:cs="仿宋"/>
                <w:spacing w:val="-1"/>
                <w:sz w:val="22"/>
                <w:szCs w:val="22"/>
              </w:rPr>
              <w:t>M01拾取晶体</w:t>
            </w:r>
          </w:p>
        </w:tc>
        <w:tc>
          <w:tcPr>
            <w:tcW w:w="3266" w:type="dxa"/>
            <w:vAlign w:val="top"/>
          </w:tcPr>
          <w:p w14:paraId="217546E1">
            <w:pPr>
              <w:pStyle w:val="25"/>
              <w:spacing w:before="200" w:line="219" w:lineRule="auto"/>
              <w:ind w:left="1182"/>
              <w:rPr>
                <w:rFonts w:hint="eastAsia" w:ascii="仿宋" w:hAnsi="仿宋" w:eastAsia="仿宋" w:cs="仿宋"/>
                <w:sz w:val="22"/>
                <w:szCs w:val="22"/>
              </w:rPr>
            </w:pPr>
            <w:r>
              <w:rPr>
                <w:rFonts w:hint="eastAsia" w:ascii="仿宋" w:hAnsi="仿宋" w:eastAsia="仿宋" w:cs="仿宋"/>
                <w:spacing w:val="-2"/>
                <w:sz w:val="22"/>
                <w:szCs w:val="22"/>
              </w:rPr>
              <w:t>黄色方块</w:t>
            </w:r>
          </w:p>
        </w:tc>
        <w:tc>
          <w:tcPr>
            <w:tcW w:w="1288" w:type="dxa"/>
            <w:vAlign w:val="top"/>
          </w:tcPr>
          <w:p w14:paraId="6832B777">
            <w:pPr>
              <w:pStyle w:val="25"/>
              <w:spacing w:before="210" w:line="219" w:lineRule="auto"/>
              <w:ind w:left="256"/>
              <w:rPr>
                <w:rFonts w:hint="eastAsia" w:ascii="仿宋" w:hAnsi="仿宋" w:eastAsia="仿宋" w:cs="仿宋"/>
                <w:sz w:val="22"/>
                <w:szCs w:val="22"/>
              </w:rPr>
            </w:pPr>
            <w:r>
              <w:rPr>
                <w:rFonts w:hint="eastAsia" w:ascii="仿宋" w:hAnsi="仿宋" w:eastAsia="仿宋" w:cs="仿宋"/>
                <w:spacing w:val="1"/>
                <w:sz w:val="22"/>
                <w:szCs w:val="22"/>
              </w:rPr>
              <w:t>20分/个</w:t>
            </w:r>
          </w:p>
        </w:tc>
        <w:tc>
          <w:tcPr>
            <w:tcW w:w="1403" w:type="dxa"/>
            <w:vAlign w:val="top"/>
          </w:tcPr>
          <w:p w14:paraId="29D5262F">
            <w:pPr>
              <w:pStyle w:val="25"/>
              <w:spacing w:before="210" w:line="220" w:lineRule="auto"/>
              <w:ind w:left="478"/>
              <w:rPr>
                <w:rFonts w:hint="eastAsia" w:ascii="仿宋" w:hAnsi="仿宋" w:eastAsia="仿宋" w:cs="仿宋"/>
                <w:sz w:val="22"/>
                <w:szCs w:val="22"/>
              </w:rPr>
            </w:pPr>
            <w:r>
              <w:rPr>
                <w:rFonts w:hint="eastAsia" w:ascii="仿宋" w:hAnsi="仿宋" w:eastAsia="仿宋" w:cs="仿宋"/>
                <w:spacing w:val="3"/>
                <w:sz w:val="22"/>
                <w:szCs w:val="22"/>
              </w:rPr>
              <w:t>20分</w:t>
            </w:r>
          </w:p>
        </w:tc>
      </w:tr>
      <w:tr w14:paraId="27FED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2532" w:type="dxa"/>
            <w:vAlign w:val="top"/>
          </w:tcPr>
          <w:p w14:paraId="2D7B1F5B">
            <w:pPr>
              <w:pStyle w:val="25"/>
              <w:spacing w:before="202" w:line="219" w:lineRule="auto"/>
              <w:ind w:left="654"/>
              <w:rPr>
                <w:rFonts w:hint="eastAsia" w:ascii="仿宋" w:hAnsi="仿宋" w:eastAsia="仿宋" w:cs="仿宋"/>
                <w:sz w:val="22"/>
                <w:szCs w:val="22"/>
              </w:rPr>
            </w:pPr>
            <w:r>
              <w:rPr>
                <w:rFonts w:hint="eastAsia" w:ascii="仿宋" w:hAnsi="仿宋" w:eastAsia="仿宋" w:cs="仿宋"/>
                <w:spacing w:val="-1"/>
                <w:sz w:val="22"/>
                <w:szCs w:val="22"/>
              </w:rPr>
              <w:t>M02收集芯片</w:t>
            </w:r>
          </w:p>
        </w:tc>
        <w:tc>
          <w:tcPr>
            <w:tcW w:w="3266" w:type="dxa"/>
            <w:vAlign w:val="top"/>
          </w:tcPr>
          <w:p w14:paraId="59F8461B">
            <w:pPr>
              <w:pStyle w:val="25"/>
              <w:spacing w:before="202" w:line="219" w:lineRule="auto"/>
              <w:ind w:left="632"/>
              <w:rPr>
                <w:rFonts w:hint="eastAsia" w:ascii="仿宋" w:hAnsi="仿宋" w:eastAsia="仿宋" w:cs="仿宋"/>
                <w:sz w:val="22"/>
                <w:szCs w:val="22"/>
              </w:rPr>
            </w:pPr>
            <w:r>
              <w:rPr>
                <w:rFonts w:hint="eastAsia" w:ascii="仿宋" w:hAnsi="仿宋" w:eastAsia="仿宋" w:cs="仿宋"/>
                <w:spacing w:val="-1"/>
                <w:sz w:val="22"/>
                <w:szCs w:val="22"/>
              </w:rPr>
              <w:t>黄色方块/黄色K方块</w:t>
            </w:r>
          </w:p>
        </w:tc>
        <w:tc>
          <w:tcPr>
            <w:tcW w:w="1288" w:type="dxa"/>
            <w:vAlign w:val="top"/>
          </w:tcPr>
          <w:p w14:paraId="1FEE4B9A">
            <w:pPr>
              <w:pStyle w:val="25"/>
              <w:spacing w:before="202" w:line="219" w:lineRule="auto"/>
              <w:ind w:left="256"/>
              <w:rPr>
                <w:rFonts w:hint="eastAsia" w:ascii="仿宋" w:hAnsi="仿宋" w:eastAsia="仿宋" w:cs="仿宋"/>
                <w:sz w:val="22"/>
                <w:szCs w:val="22"/>
              </w:rPr>
            </w:pPr>
            <w:r>
              <w:rPr>
                <w:rFonts w:hint="eastAsia" w:ascii="仿宋" w:hAnsi="仿宋" w:eastAsia="仿宋" w:cs="仿宋"/>
                <w:spacing w:val="1"/>
                <w:sz w:val="22"/>
                <w:szCs w:val="22"/>
              </w:rPr>
              <w:t>20分/个</w:t>
            </w:r>
          </w:p>
        </w:tc>
        <w:tc>
          <w:tcPr>
            <w:tcW w:w="1403" w:type="dxa"/>
            <w:vAlign w:val="top"/>
          </w:tcPr>
          <w:p w14:paraId="1A762859">
            <w:pPr>
              <w:pStyle w:val="25"/>
              <w:spacing w:before="192" w:line="220" w:lineRule="auto"/>
              <w:ind w:left="478"/>
              <w:rPr>
                <w:rFonts w:hint="eastAsia" w:ascii="仿宋" w:hAnsi="仿宋" w:eastAsia="仿宋" w:cs="仿宋"/>
                <w:sz w:val="22"/>
                <w:szCs w:val="22"/>
              </w:rPr>
            </w:pPr>
            <w:r>
              <w:rPr>
                <w:rFonts w:hint="eastAsia" w:ascii="仿宋" w:hAnsi="仿宋" w:eastAsia="仿宋" w:cs="仿宋"/>
                <w:spacing w:val="3"/>
                <w:sz w:val="22"/>
                <w:szCs w:val="22"/>
              </w:rPr>
              <w:t>20分</w:t>
            </w:r>
          </w:p>
        </w:tc>
      </w:tr>
      <w:tr w14:paraId="57477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532" w:type="dxa"/>
            <w:vAlign w:val="top"/>
          </w:tcPr>
          <w:p w14:paraId="173A8D3C">
            <w:pPr>
              <w:pStyle w:val="25"/>
              <w:spacing w:before="212" w:line="219" w:lineRule="auto"/>
              <w:ind w:left="654"/>
              <w:rPr>
                <w:rFonts w:hint="eastAsia" w:ascii="仿宋" w:hAnsi="仿宋" w:eastAsia="仿宋" w:cs="仿宋"/>
                <w:sz w:val="22"/>
                <w:szCs w:val="22"/>
              </w:rPr>
            </w:pPr>
            <w:r>
              <w:rPr>
                <w:rFonts w:hint="eastAsia" w:ascii="仿宋" w:hAnsi="仿宋" w:eastAsia="仿宋" w:cs="仿宋"/>
                <w:spacing w:val="-1"/>
                <w:sz w:val="22"/>
                <w:szCs w:val="22"/>
              </w:rPr>
              <w:t>M03光子传输</w:t>
            </w:r>
          </w:p>
        </w:tc>
        <w:tc>
          <w:tcPr>
            <w:tcW w:w="3266" w:type="dxa"/>
            <w:vAlign w:val="top"/>
          </w:tcPr>
          <w:p w14:paraId="05629888">
            <w:pPr>
              <w:pStyle w:val="25"/>
              <w:spacing w:before="215" w:line="221" w:lineRule="auto"/>
              <w:ind w:left="912"/>
              <w:rPr>
                <w:rFonts w:hint="eastAsia" w:ascii="仿宋" w:hAnsi="仿宋" w:eastAsia="仿宋" w:cs="仿宋"/>
                <w:sz w:val="22"/>
                <w:szCs w:val="22"/>
              </w:rPr>
            </w:pPr>
            <w:r>
              <w:rPr>
                <w:rFonts w:hint="eastAsia" w:ascii="仿宋" w:hAnsi="仿宋" w:eastAsia="仿宋" w:cs="仿宋"/>
                <w:spacing w:val="1"/>
                <w:sz w:val="22"/>
                <w:szCs w:val="22"/>
              </w:rPr>
              <w:t>红色/蓝色小球</w:t>
            </w:r>
          </w:p>
        </w:tc>
        <w:tc>
          <w:tcPr>
            <w:tcW w:w="1288" w:type="dxa"/>
            <w:vAlign w:val="top"/>
          </w:tcPr>
          <w:p w14:paraId="0C304A42">
            <w:pPr>
              <w:pStyle w:val="25"/>
              <w:spacing w:before="204" w:line="219" w:lineRule="auto"/>
              <w:ind w:left="256"/>
              <w:rPr>
                <w:rFonts w:hint="eastAsia" w:ascii="仿宋" w:hAnsi="仿宋" w:eastAsia="仿宋" w:cs="仿宋"/>
                <w:sz w:val="22"/>
                <w:szCs w:val="22"/>
              </w:rPr>
            </w:pPr>
            <w:r>
              <w:rPr>
                <w:rFonts w:hint="eastAsia" w:ascii="仿宋" w:hAnsi="仿宋" w:eastAsia="仿宋" w:cs="仿宋"/>
                <w:spacing w:val="1"/>
                <w:sz w:val="22"/>
                <w:szCs w:val="22"/>
              </w:rPr>
              <w:t>30分/个</w:t>
            </w:r>
          </w:p>
        </w:tc>
        <w:tc>
          <w:tcPr>
            <w:tcW w:w="1403" w:type="dxa"/>
            <w:vAlign w:val="top"/>
          </w:tcPr>
          <w:p w14:paraId="166DCF72">
            <w:pPr>
              <w:pStyle w:val="25"/>
              <w:spacing w:before="204" w:line="220" w:lineRule="auto"/>
              <w:ind w:left="478"/>
              <w:rPr>
                <w:rFonts w:hint="eastAsia" w:ascii="仿宋" w:hAnsi="仿宋" w:eastAsia="仿宋" w:cs="仿宋"/>
                <w:sz w:val="22"/>
                <w:szCs w:val="22"/>
              </w:rPr>
            </w:pPr>
            <w:r>
              <w:rPr>
                <w:rFonts w:hint="eastAsia" w:ascii="仿宋" w:hAnsi="仿宋" w:eastAsia="仿宋" w:cs="仿宋"/>
                <w:spacing w:val="3"/>
                <w:sz w:val="22"/>
                <w:szCs w:val="22"/>
              </w:rPr>
              <w:t>30分</w:t>
            </w:r>
          </w:p>
        </w:tc>
      </w:tr>
      <w:tr w14:paraId="3F401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532" w:type="dxa"/>
            <w:vAlign w:val="top"/>
          </w:tcPr>
          <w:p w14:paraId="796DBDB8">
            <w:pPr>
              <w:pStyle w:val="25"/>
              <w:spacing w:before="215" w:line="219" w:lineRule="auto"/>
              <w:ind w:left="434"/>
              <w:rPr>
                <w:rFonts w:hint="eastAsia" w:ascii="仿宋" w:hAnsi="仿宋" w:eastAsia="仿宋" w:cs="仿宋"/>
                <w:sz w:val="22"/>
                <w:szCs w:val="22"/>
              </w:rPr>
            </w:pPr>
            <w:r>
              <w:rPr>
                <w:rFonts w:hint="eastAsia" w:ascii="仿宋" w:hAnsi="仿宋" w:eastAsia="仿宋" w:cs="仿宋"/>
                <w:spacing w:val="-1"/>
                <w:sz w:val="22"/>
                <w:szCs w:val="22"/>
              </w:rPr>
              <w:t>M04开启智库系统</w:t>
            </w:r>
          </w:p>
        </w:tc>
        <w:tc>
          <w:tcPr>
            <w:tcW w:w="3266" w:type="dxa"/>
            <w:vAlign w:val="top"/>
          </w:tcPr>
          <w:p w14:paraId="35487C8E">
            <w:pPr>
              <w:pStyle w:val="25"/>
              <w:spacing w:before="215" w:line="219" w:lineRule="auto"/>
              <w:ind w:left="692"/>
              <w:rPr>
                <w:rFonts w:hint="eastAsia" w:ascii="仿宋" w:hAnsi="仿宋" w:eastAsia="仿宋" w:cs="仿宋"/>
                <w:sz w:val="22"/>
                <w:szCs w:val="22"/>
              </w:rPr>
            </w:pPr>
            <w:r>
              <w:rPr>
                <w:rFonts w:hint="eastAsia" w:ascii="仿宋" w:hAnsi="仿宋" w:eastAsia="仿宋" w:cs="仿宋"/>
                <w:sz w:val="22"/>
                <w:szCs w:val="22"/>
              </w:rPr>
              <w:t>红色/蓝色字母方块</w:t>
            </w:r>
          </w:p>
        </w:tc>
        <w:tc>
          <w:tcPr>
            <w:tcW w:w="1288" w:type="dxa"/>
            <w:vAlign w:val="top"/>
          </w:tcPr>
          <w:p w14:paraId="5322E9EB">
            <w:pPr>
              <w:pStyle w:val="25"/>
              <w:spacing w:before="205" w:line="219" w:lineRule="auto"/>
              <w:ind w:left="256"/>
              <w:rPr>
                <w:rFonts w:hint="eastAsia" w:ascii="仿宋" w:hAnsi="仿宋" w:eastAsia="仿宋" w:cs="仿宋"/>
                <w:sz w:val="22"/>
                <w:szCs w:val="22"/>
              </w:rPr>
            </w:pPr>
            <w:r>
              <w:rPr>
                <w:rFonts w:hint="eastAsia" w:ascii="仿宋" w:hAnsi="仿宋" w:eastAsia="仿宋" w:cs="仿宋"/>
                <w:spacing w:val="1"/>
                <w:sz w:val="22"/>
                <w:szCs w:val="22"/>
              </w:rPr>
              <w:t>20分/个</w:t>
            </w:r>
          </w:p>
        </w:tc>
        <w:tc>
          <w:tcPr>
            <w:tcW w:w="1403" w:type="dxa"/>
            <w:vAlign w:val="top"/>
          </w:tcPr>
          <w:p w14:paraId="61B55659">
            <w:pPr>
              <w:pStyle w:val="25"/>
              <w:spacing w:before="205" w:line="220" w:lineRule="auto"/>
              <w:ind w:left="478"/>
              <w:rPr>
                <w:rFonts w:hint="eastAsia" w:ascii="仿宋" w:hAnsi="仿宋" w:eastAsia="仿宋" w:cs="仿宋"/>
                <w:sz w:val="22"/>
                <w:szCs w:val="22"/>
              </w:rPr>
            </w:pPr>
            <w:r>
              <w:rPr>
                <w:rFonts w:hint="eastAsia" w:ascii="仿宋" w:hAnsi="仿宋" w:eastAsia="仿宋" w:cs="仿宋"/>
                <w:spacing w:val="3"/>
                <w:sz w:val="22"/>
                <w:szCs w:val="22"/>
              </w:rPr>
              <w:t>20分</w:t>
            </w:r>
          </w:p>
        </w:tc>
      </w:tr>
      <w:tr w14:paraId="1DADF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2532" w:type="dxa"/>
            <w:vAlign w:val="top"/>
          </w:tcPr>
          <w:p w14:paraId="24D5E086">
            <w:pPr>
              <w:pStyle w:val="25"/>
              <w:spacing w:before="206" w:line="219" w:lineRule="auto"/>
              <w:ind w:left="545"/>
              <w:rPr>
                <w:rFonts w:hint="eastAsia" w:ascii="仿宋" w:hAnsi="仿宋" w:eastAsia="仿宋" w:cs="仿宋"/>
                <w:sz w:val="22"/>
                <w:szCs w:val="22"/>
              </w:rPr>
            </w:pPr>
            <w:r>
              <w:rPr>
                <w:rFonts w:hint="eastAsia" w:ascii="仿宋" w:hAnsi="仿宋" w:eastAsia="仿宋" w:cs="仿宋"/>
                <w:spacing w:val="-1"/>
                <w:sz w:val="22"/>
                <w:szCs w:val="22"/>
              </w:rPr>
              <w:t>M05转运数据块</w:t>
            </w:r>
          </w:p>
        </w:tc>
        <w:tc>
          <w:tcPr>
            <w:tcW w:w="3266" w:type="dxa"/>
            <w:vAlign w:val="top"/>
          </w:tcPr>
          <w:p w14:paraId="4610D051">
            <w:pPr>
              <w:pStyle w:val="25"/>
              <w:spacing w:before="206" w:line="219" w:lineRule="auto"/>
              <w:ind w:left="692"/>
              <w:rPr>
                <w:rFonts w:hint="eastAsia" w:ascii="仿宋" w:hAnsi="仿宋" w:eastAsia="仿宋" w:cs="仿宋"/>
                <w:sz w:val="22"/>
                <w:szCs w:val="22"/>
              </w:rPr>
            </w:pPr>
            <w:r>
              <w:rPr>
                <w:rFonts w:hint="eastAsia" w:ascii="仿宋" w:hAnsi="仿宋" w:eastAsia="仿宋" w:cs="仿宋"/>
                <w:sz w:val="22"/>
                <w:szCs w:val="22"/>
              </w:rPr>
              <w:t>红色/蓝色字母方块</w:t>
            </w:r>
          </w:p>
        </w:tc>
        <w:tc>
          <w:tcPr>
            <w:tcW w:w="1288" w:type="dxa"/>
            <w:vAlign w:val="top"/>
          </w:tcPr>
          <w:p w14:paraId="09B66B7E">
            <w:pPr>
              <w:pStyle w:val="25"/>
              <w:spacing w:before="206" w:line="219" w:lineRule="auto"/>
              <w:ind w:left="256"/>
              <w:rPr>
                <w:rFonts w:hint="eastAsia" w:ascii="仿宋" w:hAnsi="仿宋" w:eastAsia="仿宋" w:cs="仿宋"/>
                <w:sz w:val="22"/>
                <w:szCs w:val="22"/>
              </w:rPr>
            </w:pPr>
            <w:r>
              <w:rPr>
                <w:rFonts w:hint="eastAsia" w:ascii="仿宋" w:hAnsi="仿宋" w:eastAsia="仿宋" w:cs="仿宋"/>
                <w:spacing w:val="1"/>
                <w:sz w:val="22"/>
                <w:szCs w:val="22"/>
              </w:rPr>
              <w:t>30分/个</w:t>
            </w:r>
          </w:p>
        </w:tc>
        <w:tc>
          <w:tcPr>
            <w:tcW w:w="1403" w:type="dxa"/>
            <w:vAlign w:val="top"/>
          </w:tcPr>
          <w:p w14:paraId="43BB2C25">
            <w:pPr>
              <w:pStyle w:val="25"/>
              <w:spacing w:before="206" w:line="220" w:lineRule="auto"/>
              <w:ind w:left="478"/>
              <w:rPr>
                <w:rFonts w:hint="eastAsia" w:ascii="仿宋" w:hAnsi="仿宋" w:eastAsia="仿宋" w:cs="仿宋"/>
                <w:sz w:val="22"/>
                <w:szCs w:val="22"/>
              </w:rPr>
            </w:pPr>
            <w:r>
              <w:rPr>
                <w:rFonts w:hint="eastAsia" w:ascii="仿宋" w:hAnsi="仿宋" w:eastAsia="仿宋" w:cs="仿宋"/>
                <w:spacing w:val="3"/>
                <w:sz w:val="22"/>
                <w:szCs w:val="22"/>
              </w:rPr>
              <w:t>30分</w:t>
            </w:r>
          </w:p>
        </w:tc>
      </w:tr>
      <w:tr w14:paraId="173E8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532" w:type="dxa"/>
            <w:vAlign w:val="top"/>
          </w:tcPr>
          <w:p w14:paraId="54E50FE9">
            <w:pPr>
              <w:pStyle w:val="25"/>
              <w:spacing w:before="217" w:line="219" w:lineRule="auto"/>
              <w:ind w:left="545"/>
              <w:rPr>
                <w:rFonts w:hint="eastAsia" w:ascii="仿宋" w:hAnsi="仿宋" w:eastAsia="仿宋" w:cs="仿宋"/>
                <w:sz w:val="22"/>
                <w:szCs w:val="22"/>
              </w:rPr>
            </w:pPr>
            <w:r>
              <w:rPr>
                <w:rFonts w:hint="eastAsia" w:ascii="仿宋" w:hAnsi="仿宋" w:eastAsia="仿宋" w:cs="仿宋"/>
                <w:spacing w:val="-1"/>
                <w:sz w:val="22"/>
                <w:szCs w:val="22"/>
              </w:rPr>
              <w:t>M06分配光谱环</w:t>
            </w:r>
          </w:p>
        </w:tc>
        <w:tc>
          <w:tcPr>
            <w:tcW w:w="3266" w:type="dxa"/>
            <w:vAlign w:val="top"/>
          </w:tcPr>
          <w:p w14:paraId="3DEDC888">
            <w:pPr>
              <w:pStyle w:val="25"/>
              <w:spacing w:before="208" w:line="221" w:lineRule="auto"/>
              <w:ind w:left="1182"/>
              <w:rPr>
                <w:rFonts w:hint="eastAsia" w:ascii="仿宋" w:hAnsi="仿宋" w:eastAsia="仿宋" w:cs="仿宋"/>
                <w:sz w:val="22"/>
                <w:szCs w:val="22"/>
              </w:rPr>
            </w:pPr>
            <w:r>
              <w:rPr>
                <w:rFonts w:hint="eastAsia" w:ascii="仿宋" w:hAnsi="仿宋" w:eastAsia="仿宋" w:cs="仿宋"/>
                <w:spacing w:val="-2"/>
                <w:sz w:val="22"/>
                <w:szCs w:val="22"/>
              </w:rPr>
              <w:t>三色圆环</w:t>
            </w:r>
          </w:p>
        </w:tc>
        <w:tc>
          <w:tcPr>
            <w:tcW w:w="1288" w:type="dxa"/>
            <w:vAlign w:val="top"/>
          </w:tcPr>
          <w:p w14:paraId="0E38D963">
            <w:pPr>
              <w:pStyle w:val="25"/>
              <w:spacing w:before="207" w:line="219" w:lineRule="auto"/>
              <w:ind w:left="256"/>
              <w:rPr>
                <w:rFonts w:hint="eastAsia" w:ascii="仿宋" w:hAnsi="仿宋" w:eastAsia="仿宋" w:cs="仿宋"/>
                <w:sz w:val="22"/>
                <w:szCs w:val="22"/>
              </w:rPr>
            </w:pPr>
            <w:r>
              <w:rPr>
                <w:rFonts w:hint="eastAsia" w:ascii="仿宋" w:hAnsi="仿宋" w:eastAsia="仿宋" w:cs="仿宋"/>
                <w:spacing w:val="1"/>
                <w:sz w:val="22"/>
                <w:szCs w:val="22"/>
              </w:rPr>
              <w:t>20分/个</w:t>
            </w:r>
          </w:p>
        </w:tc>
        <w:tc>
          <w:tcPr>
            <w:tcW w:w="1403" w:type="dxa"/>
            <w:vAlign w:val="top"/>
          </w:tcPr>
          <w:p w14:paraId="3D98B137">
            <w:pPr>
              <w:pStyle w:val="25"/>
              <w:spacing w:before="207" w:line="220" w:lineRule="auto"/>
              <w:ind w:left="478"/>
              <w:rPr>
                <w:rFonts w:hint="eastAsia" w:ascii="仿宋" w:hAnsi="仿宋" w:eastAsia="仿宋" w:cs="仿宋"/>
                <w:sz w:val="22"/>
                <w:szCs w:val="22"/>
              </w:rPr>
            </w:pPr>
            <w:r>
              <w:rPr>
                <w:rFonts w:hint="eastAsia" w:ascii="仿宋" w:hAnsi="仿宋" w:eastAsia="仿宋" w:cs="仿宋"/>
                <w:spacing w:val="-2"/>
                <w:sz w:val="22"/>
                <w:szCs w:val="22"/>
              </w:rPr>
              <w:t>60分</w:t>
            </w:r>
          </w:p>
        </w:tc>
      </w:tr>
    </w:tbl>
    <w:p w14:paraId="5D0B8B15">
      <w:pPr>
        <w:pStyle w:val="8"/>
        <w:keepNext w:val="0"/>
        <w:keepLines w:val="0"/>
        <w:widowControl w:val="0"/>
        <w:shd w:val="clear" w:color="auto" w:fill="auto"/>
        <w:bidi w:val="0"/>
        <w:spacing w:before="0" w:after="0" w:line="413" w:lineRule="exact"/>
        <w:ind w:left="0" w:right="0" w:firstLine="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p w14:paraId="3A09DA02">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合作任务得分</w:t>
      </w:r>
    </w:p>
    <w:p w14:paraId="60CA3763">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p>
    <w:tbl>
      <w:tblPr>
        <w:tblStyle w:val="6"/>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2371"/>
        <w:gridCol w:w="2722"/>
        <w:gridCol w:w="1560"/>
        <w:gridCol w:w="1649"/>
      </w:tblGrid>
      <w:tr w14:paraId="1A171C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14:paraId="0E69BB56">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比赛任务</w:t>
            </w:r>
          </w:p>
        </w:tc>
        <w:tc>
          <w:tcPr>
            <w:tcW w:w="2722" w:type="dxa"/>
            <w:vAlign w:val="center"/>
          </w:tcPr>
          <w:p w14:paraId="31AA7C8E">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得分道具</w:t>
            </w:r>
          </w:p>
        </w:tc>
        <w:tc>
          <w:tcPr>
            <w:tcW w:w="1560" w:type="dxa"/>
            <w:vAlign w:val="center"/>
          </w:tcPr>
          <w:p w14:paraId="4E35FE15">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单个道具得分</w:t>
            </w:r>
          </w:p>
        </w:tc>
        <w:tc>
          <w:tcPr>
            <w:tcW w:w="1649" w:type="dxa"/>
            <w:vAlign w:val="center"/>
          </w:tcPr>
          <w:p w14:paraId="209CFB37">
            <w:pPr>
              <w:pStyle w:val="20"/>
              <w:ind w:firstLine="0"/>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理论最高分值</w:t>
            </w:r>
          </w:p>
        </w:tc>
      </w:tr>
      <w:tr w14:paraId="551A54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14:paraId="207A328D">
            <w:pPr>
              <w:pStyle w:val="20"/>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M07 点燃反物质燃料棒</w:t>
            </w:r>
          </w:p>
        </w:tc>
        <w:tc>
          <w:tcPr>
            <w:tcW w:w="2722" w:type="dxa"/>
            <w:vAlign w:val="center"/>
          </w:tcPr>
          <w:p w14:paraId="0789E1D4">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符合得分判定的解码转筒装置</w:t>
            </w:r>
          </w:p>
        </w:tc>
        <w:tc>
          <w:tcPr>
            <w:tcW w:w="1560" w:type="dxa"/>
            <w:vAlign w:val="center"/>
          </w:tcPr>
          <w:p w14:paraId="559D09FC">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30分/个</w:t>
            </w:r>
          </w:p>
        </w:tc>
        <w:tc>
          <w:tcPr>
            <w:tcW w:w="1649" w:type="dxa"/>
            <w:vAlign w:val="center"/>
          </w:tcPr>
          <w:p w14:paraId="29B527E9">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90分</w:t>
            </w:r>
          </w:p>
        </w:tc>
      </w:tr>
      <w:tr w14:paraId="47B131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14:paraId="066BC756">
            <w:pPr>
              <w:pStyle w:val="20"/>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M08 运转矩阵研究站</w:t>
            </w:r>
          </w:p>
        </w:tc>
        <w:tc>
          <w:tcPr>
            <w:tcW w:w="2722" w:type="dxa"/>
            <w:vAlign w:val="center"/>
          </w:tcPr>
          <w:p w14:paraId="5CB712D2">
            <w:pPr>
              <w:pStyle w:val="20"/>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符合得分判定的红蓝字母方块</w:t>
            </w:r>
          </w:p>
          <w:p w14:paraId="163A4A75">
            <w:pPr>
              <w:pStyle w:val="20"/>
              <w:numPr>
                <w:ilvl w:val="0"/>
                <w:numId w:val="6"/>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完成两个”MAKEX“排列</w:t>
            </w:r>
          </w:p>
        </w:tc>
        <w:tc>
          <w:tcPr>
            <w:tcW w:w="1560" w:type="dxa"/>
            <w:vAlign w:val="center"/>
          </w:tcPr>
          <w:p w14:paraId="467D05B2">
            <w:pPr>
              <w:pStyle w:val="20"/>
              <w:numPr>
                <w:ilvl w:val="0"/>
                <w:numId w:val="7"/>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20分/个</w:t>
            </w:r>
          </w:p>
          <w:p w14:paraId="24EF1A6E">
            <w:pPr>
              <w:pStyle w:val="20"/>
              <w:numPr>
                <w:ilvl w:val="0"/>
                <w:numId w:val="7"/>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50分/</w:t>
            </w:r>
            <w:r>
              <w:rPr>
                <w:rFonts w:hint="eastAsia" w:ascii="仿宋" w:hAnsi="仿宋" w:eastAsia="仿宋" w:cs="仿宋"/>
                <w:color w:val="000000" w:themeColor="text1"/>
                <w:sz w:val="20"/>
                <w:szCs w:val="20"/>
                <w:lang w:val="en-US" w:eastAsia="zh-CN"/>
                <w14:textFill>
                  <w14:solidFill>
                    <w14:schemeClr w14:val="tx1"/>
                  </w14:solidFill>
                </w14:textFill>
              </w:rPr>
              <w:t>组</w:t>
            </w:r>
          </w:p>
        </w:tc>
        <w:tc>
          <w:tcPr>
            <w:tcW w:w="1649" w:type="dxa"/>
            <w:vAlign w:val="center"/>
          </w:tcPr>
          <w:p w14:paraId="1ACAFC8A">
            <w:pPr>
              <w:pStyle w:val="20"/>
              <w:numPr>
                <w:ilvl w:val="0"/>
                <w:numId w:val="7"/>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180分</w:t>
            </w:r>
          </w:p>
          <w:p w14:paraId="717FA53D">
            <w:pPr>
              <w:pStyle w:val="20"/>
              <w:numPr>
                <w:ilvl w:val="0"/>
                <w:numId w:val="7"/>
              </w:numPr>
              <w:jc w:val="left"/>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100分</w:t>
            </w:r>
          </w:p>
        </w:tc>
      </w:tr>
      <w:tr w14:paraId="04046F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500" w:hRule="atLeast"/>
          <w:jc w:val="center"/>
        </w:trPr>
        <w:tc>
          <w:tcPr>
            <w:tcW w:w="2371" w:type="dxa"/>
            <w:vAlign w:val="center"/>
          </w:tcPr>
          <w:p w14:paraId="06A75645">
            <w:pPr>
              <w:pStyle w:val="20"/>
              <w:ind w:firstLine="0"/>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M09 摆放战队标记物</w:t>
            </w:r>
          </w:p>
        </w:tc>
        <w:tc>
          <w:tcPr>
            <w:tcW w:w="2722" w:type="dxa"/>
            <w:vAlign w:val="center"/>
          </w:tcPr>
          <w:p w14:paraId="7C5ED73A">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符合规范的自制道具</w:t>
            </w:r>
          </w:p>
        </w:tc>
        <w:tc>
          <w:tcPr>
            <w:tcW w:w="1560" w:type="dxa"/>
            <w:vAlign w:val="center"/>
          </w:tcPr>
          <w:p w14:paraId="51CBA79A">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30</w:t>
            </w:r>
            <w:r>
              <w:rPr>
                <w:rFonts w:hint="eastAsia" w:ascii="仿宋" w:hAnsi="仿宋" w:eastAsia="仿宋" w:cs="仿宋"/>
                <w:color w:val="000000" w:themeColor="text1"/>
                <w:sz w:val="20"/>
                <w:szCs w:val="20"/>
                <w14:textFill>
                  <w14:solidFill>
                    <w14:schemeClr w14:val="tx1"/>
                  </w14:solidFill>
                </w14:textFill>
              </w:rPr>
              <w:t>分/个</w:t>
            </w:r>
          </w:p>
        </w:tc>
        <w:tc>
          <w:tcPr>
            <w:tcW w:w="1649" w:type="dxa"/>
            <w:vAlign w:val="center"/>
          </w:tcPr>
          <w:p w14:paraId="01871903">
            <w:pPr>
              <w:pStyle w:val="20"/>
              <w:ind w:firstLine="0"/>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6</w:t>
            </w:r>
            <w:r>
              <w:rPr>
                <w:rFonts w:hint="eastAsia" w:ascii="仿宋" w:hAnsi="仿宋" w:eastAsia="仿宋" w:cs="仿宋"/>
                <w:color w:val="000000" w:themeColor="text1"/>
                <w:sz w:val="20"/>
                <w:szCs w:val="20"/>
                <w14:textFill>
                  <w14:solidFill>
                    <w14:schemeClr w14:val="tx1"/>
                  </w14:solidFill>
                </w14:textFill>
              </w:rPr>
              <w:t>0分</w:t>
            </w:r>
          </w:p>
        </w:tc>
      </w:tr>
    </w:tbl>
    <w:p w14:paraId="43DC12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000000" w:themeColor="text1"/>
          <w:sz w:val="21"/>
          <w:szCs w:val="21"/>
          <w:lang w:val="en-US" w:eastAsia="zh-CN"/>
          <w14:textFill>
            <w14:solidFill>
              <w14:schemeClr w14:val="tx1"/>
            </w14:solidFill>
          </w14:textFill>
        </w:rPr>
      </w:pPr>
    </w:p>
    <w:p w14:paraId="6E0314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单场比赛结束后，裁判将确认战队单场得分，每支战队单场得分由三部分构成：独立任务得分、合作任务得分与违例扣分。单场得分将用于计算资格排位赛排名或冠军争夺战排名。</w:t>
      </w:r>
    </w:p>
    <w:p w14:paraId="3E7E171F">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资格排位赛计分方式</w:t>
      </w:r>
    </w:p>
    <w:p w14:paraId="3743DB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资格排位赛单场得分：红方独立任务得分+蓝方独立任务得分+合作任务得分 -双方违例扣分</w:t>
      </w:r>
    </w:p>
    <w:p w14:paraId="4B51DB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资格排位赛单场最高分：180分+180分+430分-0分=790分</w:t>
      </w:r>
    </w:p>
    <w:p w14:paraId="1338B65F">
      <w:pPr>
        <w:pStyle w:val="8"/>
        <w:keepNext w:val="0"/>
        <w:keepLines w:val="0"/>
        <w:widowControl w:val="0"/>
        <w:shd w:val="clear" w:color="auto" w:fill="auto"/>
        <w:bidi w:val="0"/>
        <w:spacing w:before="0" w:after="0" w:line="413" w:lineRule="exact"/>
        <w:ind w:left="0" w:right="0" w:firstLine="48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冠军争夺战计分方式</w:t>
      </w:r>
    </w:p>
    <w:p w14:paraId="7E65DC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冠军争夺战单场得分:红方独立任务得分+蓝方独立任务得分+合作任务得分 -双方违例扣分</w:t>
      </w:r>
    </w:p>
    <w:p w14:paraId="08E915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冠军争夺战单场最高分：180分+180分+430分-0分=790分</w:t>
      </w:r>
    </w:p>
    <w:p w14:paraId="2B2DFC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p>
    <w:p w14:paraId="4E857D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4.7单场比赛流程</w:t>
      </w:r>
    </w:p>
    <w:p w14:paraId="4B41FB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jc w:val="both"/>
        <w:textAlignment w:val="auto"/>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pPr>
      <w:r>
        <w:rPr>
          <w:rFonts w:hint="eastAsia" w:ascii="仿宋" w:hAnsi="仿宋" w:eastAsia="仿宋" w:cs="仿宋"/>
          <w:color w:val="000000" w:themeColor="text1"/>
          <w:kern w:val="0"/>
          <w:sz w:val="22"/>
          <w:szCs w:val="22"/>
          <w:u w:val="none"/>
          <w:shd w:val="clear" w:color="auto" w:fill="auto"/>
          <w:lang w:val="en-US" w:eastAsia="zh-CN"/>
          <w14:textFill>
            <w14:solidFill>
              <w14:schemeClr w14:val="tx1"/>
            </w14:solidFill>
          </w14:textFill>
        </w:rPr>
        <w:t>比赛时间共计240秒。对于任意队伍，其比赛阶段及切换时间如下:</w:t>
      </w:r>
    </w:p>
    <w:p w14:paraId="5CFF28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drawing>
          <wp:anchor distT="0" distB="0" distL="114300" distR="114300" simplePos="0" relativeHeight="251666432" behindDoc="0" locked="0" layoutInCell="1" allowOverlap="1">
            <wp:simplePos x="0" y="0"/>
            <wp:positionH relativeFrom="margin">
              <wp:posOffset>245745</wp:posOffset>
            </wp:positionH>
            <wp:positionV relativeFrom="paragraph">
              <wp:posOffset>250825</wp:posOffset>
            </wp:positionV>
            <wp:extent cx="5220970" cy="417830"/>
            <wp:effectExtent l="0" t="0" r="6350" b="8890"/>
            <wp:wrapTopAndBottom/>
            <wp:docPr id="28"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20970" cy="417830"/>
                    </a:xfrm>
                    <a:prstGeom prst="rect">
                      <a:avLst/>
                    </a:prstGeom>
                  </pic:spPr>
                </pic:pic>
              </a:graphicData>
            </a:graphic>
          </wp:anchor>
        </w:drawing>
      </w: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单场比赛流程图</w:t>
      </w:r>
    </w:p>
    <w:p w14:paraId="3D523E09">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4.7.1 到场准备</w:t>
      </w:r>
    </w:p>
    <w:p w14:paraId="02FBA7A4">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单场比赛开始前，选手应按照赛程时间提前抵达场地，并在裁判的引导下做好以下准备：</w:t>
      </w:r>
    </w:p>
    <w:p w14:paraId="40D76AF2">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（1）将机器人电源保持开启状态，完全放在本方自动任务区的启动区内，蓝牙手柄保持开启状态，放在手动任务区的启动区内或场地边框外，战队标记物放置于手动任务区的手动装载两侧的方形区域内；</w:t>
      </w:r>
    </w:p>
    <w:p w14:paraId="314ECB14">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（2）选出一名战队代表抽取道具卡，并按照道具卡摆放M01、M03、M04、M06与M07任务道具位置；</w:t>
      </w:r>
    </w:p>
    <w:p w14:paraId="2C3B5438">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（3）检查场地和道具摆放是否规范；</w:t>
      </w:r>
    </w:p>
    <w:p w14:paraId="54CE08AB">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（4）等待裁判指令。</w:t>
      </w:r>
    </w:p>
    <w:p w14:paraId="201365AE">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auto"/>
          <w:kern w:val="2"/>
          <w:sz w:val="21"/>
          <w:szCs w:val="21"/>
          <w:u w:val="none"/>
          <w:shd w:val="clear"/>
          <w:lang w:val="en-US" w:eastAsia="zh-CN" w:bidi="ar-SA"/>
        </w:rPr>
      </w:pPr>
      <w:r>
        <w:rPr>
          <w:rFonts w:hint="eastAsia" w:ascii="黑体" w:hAnsi="黑体" w:eastAsia="黑体" w:cs="黑体"/>
          <w:b/>
          <w:bCs/>
          <w:i w:val="0"/>
          <w:iCs w:val="0"/>
          <w:color w:val="auto"/>
          <w:kern w:val="2"/>
          <w:sz w:val="21"/>
          <w:szCs w:val="21"/>
          <w:u w:val="none"/>
          <w:shd w:val="clear"/>
          <w:lang w:val="en-US" w:eastAsia="zh-CN" w:bidi="ar-SA"/>
        </w:rPr>
        <w:t>4.7.2</w:t>
      </w:r>
      <w:r>
        <w:rPr>
          <w:rFonts w:hint="default" w:ascii="黑体" w:hAnsi="黑体" w:eastAsia="黑体" w:cs="黑体"/>
          <w:b/>
          <w:bCs/>
          <w:i w:val="0"/>
          <w:iCs w:val="0"/>
          <w:color w:val="auto"/>
          <w:kern w:val="2"/>
          <w:sz w:val="21"/>
          <w:szCs w:val="21"/>
          <w:u w:val="none"/>
          <w:shd w:val="clear"/>
          <w:lang w:val="en-US" w:eastAsia="zh-CN" w:bidi="ar-SA"/>
        </w:rPr>
        <w:t>自动控制阶段</w:t>
      </w:r>
    </w:p>
    <w:p w14:paraId="0BA6B303">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裁判宣布5秒倒计时，自动控制阶段计时开始：</w:t>
      </w:r>
    </w:p>
    <w:p w14:paraId="34CA8605">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(1)自动阶段开始后，机器人通过运行自动程序在自动任务区内完成相应的任务，期间选手可以向裁判发起重启请求。</w:t>
      </w:r>
    </w:p>
    <w:p w14:paraId="7A35B0B8">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(2)自动阶段开始后，队伍可随时发起阶段切换申请，即比赛由自动控制阶段切换到手动控制阶段，进入手动任务区后机器人不可以再返回自动任务区。 阶段切换申请有且只有一次机会，参赛队员对于阶段的切换须自行达成一致意见, 并由队长发起，裁判同意后，红蓝双方同时进入手动任务区域。</w:t>
      </w:r>
    </w:p>
    <w:p w14:paraId="3DA493E7">
      <w:pPr>
        <w:keepNext w:val="0"/>
        <w:keepLines w:val="0"/>
        <w:widowControl w:val="0"/>
        <w:numPr>
          <w:ilvl w:val="0"/>
          <w:numId w:val="0"/>
        </w:numPr>
        <w:shd w:val="clear" w:color="auto" w:fill="auto"/>
        <w:bidi w:val="0"/>
        <w:spacing w:before="0" w:after="0" w:line="360" w:lineRule="auto"/>
        <w:ind w:left="0" w:right="0" w:firstLine="440" w:firstLineChars="200"/>
        <w:jc w:val="both"/>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color="auto" w:fill="auto"/>
          <w:lang w:val="en-US" w:eastAsia="zh-CN" w:bidi="ar-SA"/>
          <w14:textFill>
            <w14:solidFill>
              <w14:schemeClr w14:val="tx1"/>
            </w14:solidFill>
          </w14:textFill>
        </w:rPr>
        <w:t>(3)本阶段时长为0〜240秒，具体持续时间取决于队伍发起的阶段切换申请。</w:t>
      </w:r>
    </w:p>
    <w:p w14:paraId="2BDFC8B4">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4.7.3自动控制计分</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阶段</w:t>
      </w:r>
    </w:p>
    <w:p w14:paraId="04EDEE5C">
      <w:pPr>
        <w:keepNext w:val="0"/>
        <w:keepLines w:val="0"/>
        <w:widowControl w:val="0"/>
        <w:numPr>
          <w:ilvl w:val="0"/>
          <w:numId w:val="0"/>
        </w:numPr>
        <w:shd w:val="clear" w:color="auto" w:fill="auto"/>
        <w:bidi w:val="0"/>
        <w:spacing w:before="0" w:after="0" w:line="360" w:lineRule="auto"/>
        <w:ind w:left="0" w:leftChars="0" w:right="0" w:rightChars="0" w:firstLine="440" w:firstLineChars="200"/>
        <w:jc w:val="both"/>
        <w:rPr>
          <w:rFonts w:hint="eastAsia" w:ascii="仿宋" w:hAnsi="仿宋" w:eastAsia="仿宋" w:cs="仿宋"/>
          <w:b w:val="0"/>
          <w:bCs w:val="0"/>
          <w:i w:val="0"/>
          <w:iCs w:val="0"/>
          <w:color w:val="000000" w:themeColor="text1"/>
          <w:kern w:val="0"/>
          <w:sz w:val="22"/>
          <w:szCs w:val="22"/>
          <w:u w:val="none"/>
          <w:shd w:val="clear" w:color="auto" w:fill="auto"/>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0"/>
          <w:sz w:val="22"/>
          <w:szCs w:val="22"/>
          <w:u w:val="none"/>
          <w:shd w:val="clear" w:color="auto" w:fill="auto"/>
          <w:lang w:val="en-US" w:eastAsia="zh-CN" w:bidi="ar-SA"/>
          <w14:textFill>
            <w14:solidFill>
              <w14:schemeClr w14:val="tx1"/>
            </w14:solidFill>
          </w14:textFill>
        </w:rPr>
        <w:t>队伍发起阶段切换，裁判同意后，比赛将会暂停计时，进入自动控制阶段的计分时刻。在此期间，选手不许触碰机器人，机器人保持在申请切换时的状态，等待裁判计分完成。</w:t>
      </w:r>
    </w:p>
    <w:p w14:paraId="181209FA">
      <w:pPr>
        <w:pStyle w:val="8"/>
        <w:keepNext w:val="0"/>
        <w:keepLines w:val="0"/>
        <w:widowControl w:val="0"/>
        <w:shd w:val="clear" w:color="auto" w:fill="auto"/>
        <w:bidi w:val="0"/>
        <w:spacing w:before="0" w:after="0" w:line="413" w:lineRule="exact"/>
        <w:ind w:left="0" w:right="0" w:firstLine="48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4.7.4</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手动控制阶段</w:t>
      </w:r>
      <w:r>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tab/>
      </w:r>
    </w:p>
    <w:p w14:paraId="1BF35EDD">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自动控制阶段裁判计分完成，裁判员发出“转移机器人”的指令：</w:t>
      </w:r>
    </w:p>
    <w:p w14:paraId="0C546DB2">
      <w:pPr>
        <w:pStyle w:val="8"/>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站位调整：选手需按照“6</w:t>
      </w:r>
      <w:r>
        <w:rPr>
          <w:rFonts w:hint="eastAsia" w:ascii="仿宋" w:hAnsi="仿宋" w:eastAsia="仿宋" w:cs="仿宋"/>
          <w:b/>
          <w:bCs/>
          <w:i w:val="0"/>
          <w:iCs w:val="0"/>
          <w:color w:val="000000" w:themeColor="text1"/>
          <w:kern w:val="0"/>
          <w:sz w:val="22"/>
          <w:szCs w:val="22"/>
          <w:lang w:val="en-US" w:eastAsia="zh-CN" w:bidi="ar-SA"/>
          <w14:textFill>
            <w14:solidFill>
              <w14:schemeClr w14:val="tx1"/>
            </w14:solidFill>
          </w14:textFill>
        </w:rPr>
        <w:t>.3操作规则</w:t>
      </w: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”中的站位要求进行站位。</w:t>
      </w:r>
    </w:p>
    <w:p w14:paraId="175EF757">
      <w:pPr>
        <w:pStyle w:val="8"/>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机器人位置转移：红蓝双方需将自动任务区的机器人转移至手动任务区的启动区内（仅允许进行机器人放置）；</w:t>
      </w:r>
    </w:p>
    <w:p w14:paraId="10045037">
      <w:pPr>
        <w:pStyle w:val="8"/>
        <w:keepNext w:val="0"/>
        <w:keepLines w:val="0"/>
        <w:widowControl w:val="0"/>
        <w:numPr>
          <w:ilvl w:val="-1"/>
          <w:numId w:val="0"/>
        </w:numPr>
        <w:shd w:val="clear" w:color="auto" w:fill="auto"/>
        <w:bidi w:val="0"/>
        <w:spacing w:before="0" w:after="0" w:line="413" w:lineRule="exact"/>
        <w:ind w:left="0" w:right="0" w:firstLine="660" w:firstLineChars="30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机器人放置完毕后，裁判将发出“手动控制阶段开始”的指令，手动控制阶段开始，选手开始手动阶段的任务：</w:t>
      </w:r>
    </w:p>
    <w:p w14:paraId="71E8784E">
      <w:pPr>
        <w:pStyle w:val="8"/>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FF0000"/>
          <w:kern w:val="0"/>
          <w:sz w:val="22"/>
          <w:szCs w:val="22"/>
          <w:highlight w:val="none"/>
          <w:lang w:val="en-US" w:eastAsia="zh-CN" w:bidi="ar-SA"/>
        </w:rPr>
      </w:pPr>
      <w:r>
        <w:rPr>
          <w:rFonts w:hint="eastAsia" w:ascii="仿宋" w:hAnsi="仿宋" w:eastAsia="仿宋" w:cs="仿宋"/>
          <w:i w:val="0"/>
          <w:iCs w:val="0"/>
          <w:color w:val="FF0000"/>
          <w:kern w:val="0"/>
          <w:sz w:val="22"/>
          <w:szCs w:val="22"/>
          <w:highlight w:val="none"/>
          <w:lang w:val="en-US" w:eastAsia="zh-CN" w:bidi="ar-SA"/>
        </w:rPr>
        <w:t>手动控制阶段时，两名选手需要兼任观察手和操作手的工作，并站在指定站位区完成相关任务，具体站位要求请参考“</w:t>
      </w:r>
      <w:r>
        <w:rPr>
          <w:rFonts w:hint="eastAsia" w:ascii="仿宋" w:hAnsi="仿宋" w:eastAsia="仿宋" w:cs="仿宋"/>
          <w:b/>
          <w:bCs/>
          <w:i w:val="0"/>
          <w:iCs w:val="0"/>
          <w:color w:val="FF0000"/>
          <w:kern w:val="0"/>
          <w:sz w:val="22"/>
          <w:szCs w:val="22"/>
          <w:highlight w:val="none"/>
          <w:lang w:val="en-US" w:eastAsia="zh-CN" w:bidi="ar-SA"/>
        </w:rPr>
        <w:t>6.3操作规则</w:t>
      </w:r>
      <w:r>
        <w:rPr>
          <w:rFonts w:hint="eastAsia" w:ascii="仿宋" w:hAnsi="仿宋" w:eastAsia="仿宋" w:cs="仿宋"/>
          <w:i w:val="0"/>
          <w:iCs w:val="0"/>
          <w:color w:val="FF0000"/>
          <w:kern w:val="0"/>
          <w:sz w:val="22"/>
          <w:szCs w:val="22"/>
          <w:highlight w:val="none"/>
          <w:lang w:val="en-US" w:eastAsia="zh-CN" w:bidi="ar-SA"/>
        </w:rPr>
        <w:t>”中关于参赛选手错误站位。</w:t>
      </w:r>
    </w:p>
    <w:p w14:paraId="6D266DE9">
      <w:pPr>
        <w:pStyle w:val="8"/>
        <w:keepNext w:val="0"/>
        <w:keepLines w:val="0"/>
        <w:widowControl w:val="0"/>
        <w:numPr>
          <w:ilvl w:val="0"/>
          <w:numId w:val="8"/>
        </w:numPr>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若队伍在4分钟比赛时间未结束前，向裁判申请结束比赛，裁判许可后发出“比赛结束”指令并停止计时，则比赛提前结束；或在4分钟的比赛时间用完时，裁判将主动发出“比赛结束”指令，比赛结束。</w:t>
      </w:r>
    </w:p>
    <w:p w14:paraId="12C60FB9">
      <w:pPr>
        <w:pStyle w:val="8"/>
        <w:keepNext w:val="0"/>
        <w:keepLines w:val="0"/>
        <w:widowControl w:val="0"/>
        <w:numPr>
          <w:ilvl w:val="-1"/>
          <w:numId w:val="0"/>
        </w:numPr>
        <w:shd w:val="clear" w:color="auto" w:fill="auto"/>
        <w:bidi w:val="0"/>
        <w:spacing w:before="0" w:after="0" w:line="413" w:lineRule="exact"/>
        <w:ind w:left="0" w:right="0" w:firstLine="660" w:firstLineChars="30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比赛全程参赛队员可依照比赛规范对机器人进行重启、维修、改装，在此期间比赛时间不停止。除安全问题外，选手不得向裁判申请暂停比赛。</w:t>
      </w:r>
    </w:p>
    <w:p w14:paraId="79DC64ED">
      <w:pPr>
        <w:pStyle w:val="8"/>
        <w:keepNext w:val="0"/>
        <w:keepLines w:val="0"/>
        <w:widowControl w:val="0"/>
        <w:numPr>
          <w:ilvl w:val="0"/>
          <w:numId w:val="0"/>
        </w:numPr>
        <w:shd w:val="clear" w:color="auto" w:fill="auto"/>
        <w:bidi w:val="0"/>
        <w:spacing w:before="0" w:after="0" w:line="413" w:lineRule="exact"/>
        <w:ind w:left="480" w:leftChars="0" w:right="0" w:rightChars="0"/>
        <w:jc w:val="left"/>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pPr>
      <w:r>
        <w:rPr>
          <w:rFonts w:hint="eastAsia"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 xml:space="preserve">4.7.5 </w:t>
      </w:r>
      <w:r>
        <w:rPr>
          <w:rFonts w:hint="default" w:ascii="黑体" w:hAnsi="黑体" w:eastAsia="黑体" w:cs="黑体"/>
          <w:b/>
          <w:bCs/>
          <w:i w:val="0"/>
          <w:iCs w:val="0"/>
          <w:color w:val="000000" w:themeColor="text1"/>
          <w:kern w:val="2"/>
          <w:sz w:val="21"/>
          <w:szCs w:val="21"/>
          <w:u w:val="none"/>
          <w:shd w:val="clear"/>
          <w:lang w:val="en-US" w:eastAsia="zh-CN" w:bidi="ar-SA"/>
          <w14:textFill>
            <w14:solidFill>
              <w14:schemeClr w14:val="tx1"/>
            </w14:solidFill>
          </w14:textFill>
        </w:rPr>
        <w:t>裁判计分及选手签字确认</w:t>
      </w:r>
    </w:p>
    <w:p w14:paraId="07F466A9">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比赛结束后，裁判会进行得分统计。如对比赛无异议，队伍队长必须在成绩单上签字确认比赛结果。若对比赛结果产生异议，参赛战队无需签字，应在未签字确认成绩的前提下，立刻向当值裁判提出异议，积极沟通。</w:t>
      </w:r>
    </w:p>
    <w:p w14:paraId="2EE73907">
      <w:pPr>
        <w:pStyle w:val="8"/>
        <w:keepNext w:val="0"/>
        <w:keepLines w:val="0"/>
        <w:widowControl w:val="0"/>
        <w:shd w:val="clear" w:color="auto" w:fill="auto"/>
        <w:bidi w:val="0"/>
        <w:spacing w:before="0" w:after="0" w:line="413" w:lineRule="exact"/>
        <w:ind w:left="0" w:right="0" w:firstLine="480"/>
        <w:jc w:val="left"/>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shd w:val="clear"/>
          <w:lang w:val="en-US" w:eastAsia="zh-CN" w:bidi="ar-SA"/>
          <w14:textFill>
            <w14:solidFill>
              <w14:schemeClr w14:val="tx1"/>
            </w14:solidFill>
          </w14:textFill>
        </w:rPr>
        <w:t>签字确认后，参赛队员应主动协助裁判复原场地道具，并携带机器人和蓝牙手柄有序离场。</w:t>
      </w:r>
    </w:p>
    <w:p w14:paraId="7D71B8AE">
      <w:pPr>
        <w:pStyle w:val="8"/>
        <w:keepNext w:val="0"/>
        <w:keepLines w:val="0"/>
        <w:widowControl w:val="0"/>
        <w:shd w:val="clear" w:color="auto" w:fill="auto"/>
        <w:bidi w:val="0"/>
        <w:spacing w:before="0" w:after="0" w:line="413" w:lineRule="exact"/>
        <w:ind w:right="0"/>
        <w:jc w:val="left"/>
        <w:rPr>
          <w:rFonts w:hint="default"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p>
    <w:p w14:paraId="5E697113">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bookmarkStart w:id="6" w:name="_Toc22074"/>
      <w:r>
        <w:rPr>
          <w:rFonts w:hint="eastAsia" w:ascii="黑体" w:hAnsi="黑体" w:eastAsia="黑体" w:cs="黑体"/>
          <w:b/>
          <w:bCs/>
          <w:color w:val="000000" w:themeColor="text1"/>
          <w:sz w:val="28"/>
          <w:szCs w:val="28"/>
          <w:lang w:val="en-US" w:eastAsia="zh-CN"/>
          <w14:textFill>
            <w14:solidFill>
              <w14:schemeClr w14:val="tx1"/>
            </w14:solidFill>
          </w14:textFill>
        </w:rPr>
        <w:t>技术规范</w:t>
      </w:r>
      <w:bookmarkEnd w:id="6"/>
    </w:p>
    <w:p w14:paraId="37A12B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5.1机器人制作规范</w:t>
      </w:r>
    </w:p>
    <w:p w14:paraId="5AD493B8">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制作规范是指导各参赛队伍更好的参赛备赛、公平公正且安全的竞赛标准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w:t>
      </w:r>
    </w:p>
    <w:p w14:paraId="7C9793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t>机器人机械规范</w:t>
      </w:r>
    </w:p>
    <w:p w14:paraId="1CB59AFE">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TO1 每支参赛战队仅可使用同一台机器人进行赛前检录（</w:t>
      </w:r>
      <w:r>
        <w:rPr>
          <w:rFonts w:hint="eastAsia" w:ascii="仿宋" w:hAnsi="仿宋" w:eastAsia="仿宋" w:cs="仿宋"/>
          <w:i w:val="0"/>
          <w:iCs w:val="0"/>
          <w:color w:val="000000" w:themeColor="text1"/>
          <w:kern w:val="0"/>
          <w:sz w:val="22"/>
          <w:szCs w:val="22"/>
          <w:highlight w:val="none"/>
          <w:lang w:val="en-US" w:eastAsia="zh-CN" w:bidi="ar-SA"/>
          <w14:textFill>
            <w14:solidFill>
              <w14:schemeClr w14:val="tx1"/>
            </w14:solidFill>
          </w14:textFill>
        </w:rPr>
        <w:t>每支战队由2人组成，共使用两台机器人参赛</w:t>
      </w: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），检录通过后，该战队仅可使用通过检录的机器人进行比赛，严禁战队更换机器人，严禁战队使用未通过检录的机器人。</w:t>
      </w:r>
    </w:p>
    <w:p w14:paraId="57649866">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T02 整场比赛过程中，主控、底盘、车轮、履带不可更换，其余零件可以更换。</w:t>
      </w:r>
    </w:p>
    <w:p w14:paraId="7B678911">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T03 整场比赛过程中，机器人的长、宽不得超过280mm,高度不得超过 300mm。 机器人使用车轮（包括橡胶胎皮）直径不得超过70mm。</w:t>
      </w:r>
    </w:p>
    <w:p w14:paraId="3C3183F3">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a.机器人尺寸以最大伸展尺寸为准，检录时需展开所有活动结构(含改装后状态)至最大尺寸状态。</w:t>
      </w:r>
    </w:p>
    <w:p w14:paraId="2BB0FBCB">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b.机器人完全展开后，任意部分不得超出长280mm*宽280mm*高300mm的立方体。</w:t>
      </w:r>
    </w:p>
    <w:p w14:paraId="067774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0746D4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r>
        <w:rPr>
          <w:bCs/>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margin">
              <wp:posOffset>1435100</wp:posOffset>
            </wp:positionH>
            <wp:positionV relativeFrom="paragraph">
              <wp:posOffset>64770</wp:posOffset>
            </wp:positionV>
            <wp:extent cx="3162300" cy="2656840"/>
            <wp:effectExtent l="0" t="0" r="7620" b="1016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2300" cy="2656840"/>
                    </a:xfrm>
                    <a:prstGeom prst="rect">
                      <a:avLst/>
                    </a:prstGeom>
                  </pic:spPr>
                </pic:pic>
              </a:graphicData>
            </a:graphic>
          </wp:anchor>
        </w:drawing>
      </w:r>
    </w:p>
    <w:p w14:paraId="5E041E46">
      <w:pPr>
        <w:pStyle w:val="8"/>
        <w:keepNext w:val="0"/>
        <w:keepLines w:val="0"/>
        <w:widowControl w:val="0"/>
        <w:shd w:val="clear" w:color="auto" w:fill="auto"/>
        <w:bidi w:val="0"/>
        <w:spacing w:before="0" w:after="0" w:line="413" w:lineRule="exact"/>
        <w:ind w:right="0"/>
        <w:jc w:val="center"/>
        <w:rPr>
          <w:rFonts w:hint="eastAsia" w:ascii="黑体" w:hAnsi="黑体" w:eastAsia="黑体" w:cs="黑体"/>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最大延伸尺寸-俯视图</w:t>
      </w:r>
    </w:p>
    <w:p w14:paraId="5836C1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color w:val="000000" w:themeColor="text1"/>
          <w14:textFill>
            <w14:solidFill>
              <w14:schemeClr w14:val="tx1"/>
            </w14:solidFill>
          </w14:textFill>
        </w:rPr>
      </w:pPr>
    </w:p>
    <w:p w14:paraId="7E13D1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color w:val="000000" w:themeColor="text1"/>
          <w14:textFill>
            <w14:solidFill>
              <w14:schemeClr w14:val="tx1"/>
            </w14:solidFill>
          </w14:textFill>
        </w:rPr>
      </w:pPr>
      <w:r>
        <w:rPr>
          <w:rFonts w:hint="eastAsia"/>
          <w:b/>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margin">
              <wp:posOffset>994410</wp:posOffset>
            </wp:positionH>
            <wp:positionV relativeFrom="paragraph">
              <wp:posOffset>542925</wp:posOffset>
            </wp:positionV>
            <wp:extent cx="3762375" cy="2039620"/>
            <wp:effectExtent l="0" t="0" r="190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62375" cy="2039620"/>
                    </a:xfrm>
                    <a:prstGeom prst="rect">
                      <a:avLst/>
                    </a:prstGeom>
                  </pic:spPr>
                </pic:pic>
              </a:graphicData>
            </a:graphic>
          </wp:anchor>
        </w:drawing>
      </w:r>
    </w:p>
    <w:p w14:paraId="531DF989">
      <w:pPr>
        <w:pStyle w:val="8"/>
        <w:keepNext w:val="0"/>
        <w:keepLines w:val="0"/>
        <w:widowControl w:val="0"/>
        <w:shd w:val="clear" w:color="auto" w:fill="auto"/>
        <w:bidi w:val="0"/>
        <w:spacing w:before="0" w:after="0" w:line="413" w:lineRule="exact"/>
        <w:ind w:right="0"/>
        <w:jc w:val="cente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pPr>
      <w:r>
        <w:rPr>
          <w:rFonts w:hint="eastAsia" w:ascii="仿宋" w:hAnsi="仿宋" w:eastAsia="仿宋" w:cs="仿宋"/>
          <w:i w:val="0"/>
          <w:iCs w:val="0"/>
          <w:color w:val="000000" w:themeColor="text1"/>
          <w:kern w:val="2"/>
          <w:sz w:val="21"/>
          <w:szCs w:val="21"/>
          <w:u w:val="none"/>
          <w:shd w:val="clear"/>
          <w:lang w:val="en-US" w:eastAsia="zh-CN" w:bidi="ar-SA"/>
          <w14:textFill>
            <w14:solidFill>
              <w14:schemeClr w14:val="tx1"/>
            </w14:solidFill>
          </w14:textFill>
        </w:rPr>
        <w:t>最大延伸尺寸-侧视图</w:t>
      </w:r>
    </w:p>
    <w:p w14:paraId="2A1CCFA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7A1B18B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177EB1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r>
        <w:rPr>
          <w:bCs/>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margin">
              <wp:posOffset>2100580</wp:posOffset>
            </wp:positionH>
            <wp:positionV relativeFrom="paragraph">
              <wp:posOffset>-63500</wp:posOffset>
            </wp:positionV>
            <wp:extent cx="2160270" cy="194310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60270" cy="1943100"/>
                    </a:xfrm>
                    <a:prstGeom prst="rect">
                      <a:avLst/>
                    </a:prstGeom>
                    <a:noFill/>
                    <a:ln>
                      <a:noFill/>
                    </a:ln>
                  </pic:spPr>
                </pic:pic>
              </a:graphicData>
            </a:graphic>
          </wp:anchor>
        </w:drawing>
      </w:r>
    </w:p>
    <w:p w14:paraId="09A676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49AAD6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7190C7B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770318A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145233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59AA50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2F2F3EB7">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jc w:val="center"/>
        <w:textAlignment w:val="auto"/>
        <w:rPr>
          <w:rFonts w:hint="eastAsia" w:ascii="仿宋" w:hAnsi="仿宋" w:eastAsia="仿宋" w:cs="仿宋"/>
          <w:i w:val="0"/>
          <w:iCs w:val="0"/>
          <w:color w:val="000000" w:themeColor="text1"/>
          <w:sz w:val="21"/>
          <w:szCs w:val="21"/>
          <w:lang w:val="en-US" w:eastAsia="zh-CN" w:bidi="ar-SA"/>
          <w14:textFill>
            <w14:solidFill>
              <w14:schemeClr w14:val="tx1"/>
            </w14:solidFill>
          </w14:textFill>
        </w:rPr>
      </w:pPr>
      <w:r>
        <w:rPr>
          <w:rFonts w:hint="eastAsia" w:ascii="仿宋" w:hAnsi="仿宋" w:eastAsia="仿宋" w:cs="仿宋"/>
          <w:i w:val="0"/>
          <w:iCs w:val="0"/>
          <w:color w:val="000000" w:themeColor="text1"/>
          <w:sz w:val="21"/>
          <w:szCs w:val="21"/>
          <w:lang w:val="en-US" w:eastAsia="zh-CN" w:bidi="ar-SA"/>
          <w14:textFill>
            <w14:solidFill>
              <w14:schemeClr w14:val="tx1"/>
            </w14:solidFill>
          </w14:textFill>
        </w:rPr>
        <w:t>车轮尺寸示意图</w:t>
      </w:r>
    </w:p>
    <w:p w14:paraId="4F2A18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eastAsiaTheme="minorEastAsia"/>
          <w:color w:val="000000" w:themeColor="text1"/>
          <w:lang w:val="en-US" w:eastAsia="zh-CN"/>
          <w14:textFill>
            <w14:solidFill>
              <w14:schemeClr w14:val="tx1"/>
            </w14:solidFill>
          </w14:textFill>
        </w:rPr>
      </w:pPr>
    </w:p>
    <w:p w14:paraId="0A90C6F3">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T04 在整个比赛过程中，机器人任意时刻最大净重量不超过2.5kg,包含电池以及所有改装结构件重量，不包含战队标记物重量。</w:t>
      </w:r>
    </w:p>
    <w:p w14:paraId="18203204">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T05 参赛战队可自行制作机械零件，可以使用3D打印，激光切割等零件，不允许使用高集成度的完整商业产品，包括但不限于多自由度机械臂或机械手等。</w:t>
      </w:r>
    </w:p>
    <w:p w14:paraId="67B13E5A">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2" w:firstLineChars="200"/>
        <w:jc w:val="both"/>
        <w:textAlignment w:val="auto"/>
        <w:rPr>
          <w:rFonts w:hint="default"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pPr>
      <w:r>
        <w:rPr>
          <w:rFonts w:hint="default" w:ascii="黑体" w:hAnsi="黑体" w:eastAsia="黑体" w:cs="黑体"/>
          <w:b/>
          <w:bCs/>
          <w:i w:val="0"/>
          <w:iCs w:val="0"/>
          <w:color w:val="000000" w:themeColor="text1"/>
          <w:kern w:val="2"/>
          <w:sz w:val="21"/>
          <w:szCs w:val="21"/>
          <w:u w:val="none"/>
          <w:shd w:val="clear" w:color="auto" w:fill="auto"/>
          <w:lang w:val="en-US" w:eastAsia="zh-CN" w:bidi="ar-SA"/>
          <w14:textFill>
            <w14:solidFill>
              <w14:schemeClr w14:val="tx1"/>
            </w14:solidFill>
          </w14:textFill>
        </w:rPr>
        <w:t>机器人电子技术规范</w:t>
      </w:r>
    </w:p>
    <w:p w14:paraId="1AA75F8C">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T06 为确保比赛的公平性，防止战队使用部分高性能设备破坏比赛公平性，战队使用的器材性能不得超过以下指标：</w:t>
      </w:r>
    </w:p>
    <w:p w14:paraId="7BC237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tbl>
      <w:tblPr>
        <w:tblStyle w:val="6"/>
        <w:tblW w:w="90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48"/>
        <w:gridCol w:w="1756"/>
        <w:gridCol w:w="3510"/>
        <w:gridCol w:w="2344"/>
      </w:tblGrid>
      <w:tr w14:paraId="247AD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3D4EF">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设备类型</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B3FB5">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部件名称</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264E">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规格</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F1A6">
            <w:pPr>
              <w:keepNext w:val="0"/>
              <w:keepLines w:val="0"/>
              <w:widowControl/>
              <w:suppressLineNumbers w:val="0"/>
              <w:jc w:val="center"/>
              <w:textAlignment w:val="center"/>
              <w:rPr>
                <w:rFonts w:hint="eastAsia" w:ascii="黑体" w:hAnsi="黑体" w:eastAsia="黑体" w:cs="黑体"/>
                <w:b/>
                <w:bCs/>
                <w:i w:val="0"/>
                <w:iCs w:val="0"/>
                <w:color w:val="000000" w:themeColor="text1"/>
                <w:sz w:val="21"/>
                <w:szCs w:val="21"/>
                <w:u w:val="none"/>
                <w14:textFill>
                  <w14:solidFill>
                    <w14:schemeClr w14:val="tx1"/>
                  </w14:solidFill>
                </w14:textFill>
              </w:rPr>
            </w:pPr>
            <w:r>
              <w:rPr>
                <w:rFonts w:hint="eastAsia" w:ascii="黑体" w:hAnsi="黑体" w:eastAsia="黑体" w:cs="黑体"/>
                <w:b/>
                <w:bCs/>
                <w:i w:val="0"/>
                <w:iCs w:val="0"/>
                <w:color w:val="000000" w:themeColor="text1"/>
                <w:kern w:val="0"/>
                <w:sz w:val="21"/>
                <w:szCs w:val="21"/>
                <w:u w:val="none"/>
                <w:lang w:val="en-US" w:eastAsia="zh-CN" w:bidi="ar"/>
                <w14:textFill>
                  <w14:solidFill>
                    <w14:schemeClr w14:val="tx1"/>
                  </w14:solidFill>
                </w14:textFill>
              </w:rPr>
              <w:t>备注</w:t>
            </w:r>
          </w:p>
        </w:tc>
      </w:tr>
      <w:tr w14:paraId="07207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58E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主控&amp;扩展板</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54F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ESP32-WROVER-B</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4EC0">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处理器：Xtensa@32-bit LX6双核处理器</w:t>
            </w:r>
          </w:p>
          <w:p w14:paraId="603E69E0">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通讯模式:</w:t>
            </w:r>
          </w:p>
          <w:p w14:paraId="1E8403B2">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串口通信：主控板对扩展板</w:t>
            </w:r>
          </w:p>
          <w:p w14:paraId="1FB30B79">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数字信号：数字舵机接口</w:t>
            </w:r>
          </w:p>
          <w:p w14:paraId="0E715A3E">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PWM：直流电机接口</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E37E">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每台机器只允许使用一个主控</w:t>
            </w:r>
          </w:p>
        </w:tc>
      </w:tr>
      <w:tr w14:paraId="52AB7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58D28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传感器系统</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98B2">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视觉传感器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08536">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视场角：65.0度</w:t>
            </w:r>
          </w:p>
          <w:p w14:paraId="3326D6EB">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有效焦距∶4.65±5%mm</w:t>
            </w:r>
          </w:p>
          <w:p w14:paraId="26983BC7">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识别速度∶60 帧/s</w:t>
            </w:r>
          </w:p>
          <w:p w14:paraId="2E652157">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识别距离∶0.25-1.2m 范围最佳</w:t>
            </w:r>
          </w:p>
          <w:p w14:paraId="45E41E3F">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供电方式∶3.7V锂电池或5V mBuild 电源模块</w:t>
            </w:r>
          </w:p>
          <w:p w14:paraId="29DC24AE">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功耗范围∶0.9-1.3W</w:t>
            </w:r>
          </w:p>
        </w:tc>
        <w:tc>
          <w:tcPr>
            <w:tcW w:w="23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FDDABE">
            <w:pPr>
              <w:keepNext w:val="0"/>
              <w:keepLines w:val="0"/>
              <w:widowControl/>
              <w:suppressLineNumbers w:val="0"/>
              <w:jc w:val="center"/>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类型和数量不限</w:t>
            </w:r>
          </w:p>
          <w:p w14:paraId="5F0CDFC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Style w:val="18"/>
                <w:rFonts w:hint="eastAsia" w:ascii="仿宋" w:hAnsi="仿宋" w:eastAsia="仿宋" w:cs="仿宋"/>
                <w:color w:val="000000" w:themeColor="text1"/>
                <w:sz w:val="21"/>
                <w:szCs w:val="21"/>
                <w:lang w:val="en-US" w:eastAsia="zh-CN" w:bidi="ar"/>
                <w14:textFill>
                  <w14:solidFill>
                    <w14:schemeClr w14:val="tx1"/>
                  </w14:solidFill>
                </w14:textFill>
              </w:rPr>
              <w:t>机器人禁止使用任何可干扰到其它机器人感知能力的传感器</w:t>
            </w:r>
          </w:p>
        </w:tc>
      </w:tr>
      <w:tr w14:paraId="43572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C7591">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DE3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超声波传感器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3ACC">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工作电压∶DC 5V</w:t>
            </w:r>
          </w:p>
          <w:p w14:paraId="78246F45">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读值范围∶5-300cm</w:t>
            </w:r>
          </w:p>
          <w:p w14:paraId="7E406154">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读值误差∶±5%</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4BCEA">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r>
      <w:tr w14:paraId="42674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2C4D0">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5DC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巡线传感器</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7998">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工作电压∶DC 5V</w:t>
            </w:r>
          </w:p>
          <w:p w14:paraId="21A0D4E1">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检测高度∶5mm-15mm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45786">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r>
      <w:tr w14:paraId="5E3C3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8F61A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电机&amp;舵机</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662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编码电机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4B23">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180光电编码电机</w:t>
            </w:r>
          </w:p>
          <w:p w14:paraId="150EA8EE">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额定电压：12V</w:t>
            </w:r>
          </w:p>
          <w:p w14:paraId="182229BD">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空载转速：350RPM±5%</w:t>
            </w:r>
          </w:p>
          <w:p w14:paraId="5CE761DF">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齿轮比：39：6</w:t>
            </w:r>
          </w:p>
        </w:tc>
        <w:tc>
          <w:tcPr>
            <w:tcW w:w="234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6884BA20">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14:paraId="0CE323D1">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14:paraId="6EA66F00">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14:paraId="22784535">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p>
          <w:p w14:paraId="5388B0F5">
            <w:pPr>
              <w:keepNext w:val="0"/>
              <w:keepLines w:val="0"/>
              <w:widowControl/>
              <w:suppressLineNumbers w:val="0"/>
              <w:jc w:val="left"/>
              <w:textAlignment w:val="top"/>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禁止更改任何电机或舵机内部的机械结构和电气布局</w:t>
            </w:r>
          </w:p>
          <w:p w14:paraId="61FEE888">
            <w:pPr>
              <w:keepNext w:val="0"/>
              <w:keepLines w:val="0"/>
              <w:widowControl/>
              <w:suppressLineNumbers w:val="0"/>
              <w:jc w:val="left"/>
              <w:textAlignment w:val="top"/>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总数量不超过6个</w:t>
            </w:r>
          </w:p>
        </w:tc>
      </w:tr>
      <w:tr w14:paraId="5C738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1DD58">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EC11DE">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直流电机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3CD2">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双轴TT马达</w:t>
            </w:r>
          </w:p>
          <w:p w14:paraId="4BF191E8">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额定电压：DC 6V </w:t>
            </w:r>
          </w:p>
          <w:p w14:paraId="0CD03E57">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无负载速度：200RPM±10%</w:t>
            </w:r>
          </w:p>
          <w:p w14:paraId="79B4AB39">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齿轮比：1：48</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24D5CA91">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14:paraId="24320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98A97">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3DB35">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581F">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高速TT电机</w:t>
            </w:r>
          </w:p>
          <w:p w14:paraId="4C382C50">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额定电压：DC 6V </w:t>
            </w:r>
          </w:p>
          <w:p w14:paraId="4B332628">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无负载速度：312RPM±10%</w:t>
            </w:r>
          </w:p>
          <w:p w14:paraId="79E8FEA6">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齿轮比：1：48</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EF7A1CE">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14:paraId="5B41B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4CE6C">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restart"/>
            <w:tcBorders>
              <w:top w:val="nil"/>
              <w:left w:val="single" w:color="000000" w:sz="4" w:space="0"/>
              <w:bottom w:val="single" w:color="000000" w:sz="4" w:space="0"/>
              <w:right w:val="single" w:color="000000" w:sz="4" w:space="0"/>
            </w:tcBorders>
            <w:shd w:val="clear" w:color="auto" w:fill="auto"/>
            <w:vAlign w:val="center"/>
          </w:tcPr>
          <w:p w14:paraId="332FA804">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舵机</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6BA7C">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MS-1.5A 智能舵机</w:t>
            </w:r>
          </w:p>
          <w:p w14:paraId="28B1A279">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工作电压∶4.8-6V DC </w:t>
            </w:r>
          </w:p>
          <w:p w14:paraId="0CFA5826">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扭矩∶1.5kg/cm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32FA232D">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14:paraId="4C6A8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77F26">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vMerge w:val="continue"/>
            <w:tcBorders>
              <w:top w:val="nil"/>
              <w:left w:val="single" w:color="000000" w:sz="4" w:space="0"/>
              <w:bottom w:val="single" w:color="000000" w:sz="4" w:space="0"/>
              <w:right w:val="single" w:color="000000" w:sz="4" w:space="0"/>
            </w:tcBorders>
            <w:shd w:val="clear" w:color="auto" w:fill="auto"/>
            <w:vAlign w:val="center"/>
          </w:tcPr>
          <w:p w14:paraId="569E3DD2">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C87C">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9g小舵机</w:t>
            </w:r>
          </w:p>
          <w:p w14:paraId="245F35E5">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工作电压∶4.8-6V DC </w:t>
            </w:r>
          </w:p>
          <w:p w14:paraId="720F411B">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扭矩∶1.3到1.7kg/cm</w:t>
            </w:r>
          </w:p>
        </w:tc>
        <w:tc>
          <w:tcPr>
            <w:tcW w:w="234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5E989984">
            <w:pPr>
              <w:jc w:val="left"/>
              <w:rPr>
                <w:rFonts w:hint="eastAsia" w:ascii="仿宋" w:hAnsi="仿宋" w:eastAsia="仿宋" w:cs="仿宋"/>
                <w:i w:val="0"/>
                <w:iCs w:val="0"/>
                <w:color w:val="000000" w:themeColor="text1"/>
                <w:sz w:val="21"/>
                <w:szCs w:val="21"/>
                <w:u w:val="none"/>
                <w14:textFill>
                  <w14:solidFill>
                    <w14:schemeClr w14:val="tx1"/>
                  </w14:solidFill>
                </w14:textFill>
              </w:rPr>
            </w:pPr>
          </w:p>
        </w:tc>
      </w:tr>
      <w:tr w14:paraId="1D189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14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8BCB97">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无线通信</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303D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蓝牙手柄</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27147">
            <w:pPr>
              <w:keepNext w:val="0"/>
              <w:keepLines w:val="0"/>
              <w:widowControl/>
              <w:suppressLineNumbers w:val="0"/>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频带范围∶2402~2480MHz </w:t>
            </w:r>
          </w:p>
          <w:p w14:paraId="07321715">
            <w:pPr>
              <w:keepNext w:val="0"/>
              <w:keepLines w:val="0"/>
              <w:widowControl/>
              <w:suppressLineNumbers w:val="0"/>
              <w:jc w:val="both"/>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天线增益∶1.5dBi </w:t>
            </w:r>
          </w:p>
          <w:p w14:paraId="0728A8B4">
            <w:pPr>
              <w:keepNext w:val="0"/>
              <w:keepLines w:val="0"/>
              <w:widowControl/>
              <w:suppressLineNumbers w:val="0"/>
              <w:jc w:val="both"/>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工作电流∶15mA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EF60">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p>
        </w:tc>
      </w:tr>
      <w:tr w14:paraId="512A8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0" w:hRule="atLeast"/>
        </w:trPr>
        <w:tc>
          <w:tcPr>
            <w:tcW w:w="14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FC382">
            <w:pPr>
              <w:jc w:val="center"/>
              <w:rPr>
                <w:rFonts w:hint="eastAsia" w:ascii="仿宋" w:hAnsi="仿宋" w:eastAsia="仿宋" w:cs="仿宋"/>
                <w:i w:val="0"/>
                <w:iCs w:val="0"/>
                <w:color w:val="000000" w:themeColor="text1"/>
                <w:sz w:val="21"/>
                <w:szCs w:val="21"/>
                <w:u w:val="none"/>
                <w14:textFill>
                  <w14:solidFill>
                    <w14:schemeClr w14:val="tx1"/>
                  </w14:solidFill>
                </w14:textFill>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0B7B">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蓝牙模块</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6EB4">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蓝牙版本∶BT4.0 </w:t>
            </w:r>
          </w:p>
          <w:p w14:paraId="146251C9">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频带范围∶2402~2480MHz </w:t>
            </w:r>
          </w:p>
          <w:p w14:paraId="01CECEF7">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天线增益∶1.5dBi </w:t>
            </w:r>
          </w:p>
          <w:p w14:paraId="3614423B">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能耗等级∶≤4dBm </w:t>
            </w:r>
          </w:p>
          <w:p w14:paraId="68EDA8A1">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工作电流∶15mA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9F036">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禁止使用除蓝牙手柄以外任何形式的无线控制与机器人进行通信，包括但不限于任何人为触发的传感器</w:t>
            </w:r>
          </w:p>
        </w:tc>
      </w:tr>
      <w:tr w14:paraId="76F8E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14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52C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电力系统</w:t>
            </w:r>
          </w:p>
        </w:tc>
        <w:tc>
          <w:tcPr>
            <w:tcW w:w="1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48C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 18650 锂电池</w:t>
            </w:r>
          </w:p>
        </w:tc>
        <w:tc>
          <w:tcPr>
            <w:tcW w:w="35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222F5">
            <w:pPr>
              <w:keepNext w:val="0"/>
              <w:keepLines w:val="0"/>
              <w:widowControl/>
              <w:suppressLineNumbers w:val="0"/>
              <w:jc w:val="left"/>
              <w:textAlignment w:val="cente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电池参数：3.7V 2500mAh</w:t>
            </w:r>
          </w:p>
          <w:p w14:paraId="79431D80">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输出电压/电流：5V 6A</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737A9">
            <w:pPr>
              <w:keepNext w:val="0"/>
              <w:keepLines w:val="0"/>
              <w:widowControl/>
              <w:suppressLineNumbers w:val="0"/>
              <w:jc w:val="left"/>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不得擅自改动电池组件，若因此造成意外，需自行承担;</w:t>
            </w:r>
          </w:p>
        </w:tc>
      </w:tr>
    </w:tbl>
    <w:p w14:paraId="71E48D1D">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机器人须符合技术规范的相关要求，不符合技术规范的机器人将不能参加比赛，战队须按照技术规范进行整改直至解决相关问题。</w:t>
      </w:r>
    </w:p>
    <w:p w14:paraId="32E8D4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黑体" w:hAnsi="黑体" w:eastAsia="黑体" w:cs="黑体"/>
          <w:color w:val="000000" w:themeColor="text1"/>
          <w:sz w:val="21"/>
          <w:szCs w:val="21"/>
          <w:lang w:val="en-US" w:eastAsia="zh-CN"/>
          <w14:textFill>
            <w14:solidFill>
              <w14:schemeClr w14:val="tx1"/>
            </w14:solidFill>
          </w14:textFill>
        </w:rPr>
      </w:pPr>
    </w:p>
    <w:p w14:paraId="3E86D1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5.2战队标记物制作规范</w:t>
      </w:r>
    </w:p>
    <w:p w14:paraId="0C5CF217">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战队标记物的制作要求如下:</w:t>
      </w:r>
    </w:p>
    <w:p w14:paraId="0BC11175">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T07 该自制道具应为立体道具，不限制材质，推荐使用激光切割机或3D打印机制作而成。高度需要超过120mm，在地面的垂直投影小于等于直径60mm的圆形区域。</w:t>
      </w:r>
    </w:p>
    <w:p w14:paraId="2D991FC2">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T08 该道具需要展示战队风貌，组委会鼓励参赛队在道具上绘制个性化的图案或文字，但是须积极向上、能够体现主题和赛事精神，内容须符合国家法律法规要求，若出现不符合要求的内容，裁判有权判定该道具不通过检录。</w:t>
      </w:r>
    </w:p>
    <w:p w14:paraId="048D07B3">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战队标记物必须通过机器人检录和赛前检录才可被携带至赛场。</w:t>
      </w:r>
    </w:p>
    <w:p w14:paraId="43922E5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bookmarkStart w:id="7" w:name="_Toc19197"/>
      <w:r>
        <w:rPr>
          <w:rFonts w:hint="eastAsia" w:ascii="黑体" w:hAnsi="黑体" w:eastAsia="黑体" w:cs="黑体"/>
          <w:b/>
          <w:bCs/>
          <w:color w:val="000000" w:themeColor="text1"/>
          <w:sz w:val="28"/>
          <w:szCs w:val="28"/>
          <w:lang w:val="en-US" w:eastAsia="zh-CN"/>
          <w14:textFill>
            <w14:solidFill>
              <w14:schemeClr w14:val="tx1"/>
            </w14:solidFill>
          </w14:textFill>
        </w:rPr>
        <w:t>比赛规则</w:t>
      </w:r>
      <w:bookmarkEnd w:id="7"/>
    </w:p>
    <w:p w14:paraId="6CC907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6.1违规判罚说明</w:t>
      </w:r>
    </w:p>
    <w:p w14:paraId="14A1E333">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规则中包含如下几种判罚方式，其定义或解释如下：</w:t>
      </w:r>
    </w:p>
    <w:p w14:paraId="6FC233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b/>
          <w:bCs/>
          <w:color w:val="000000" w:themeColor="text1"/>
          <w:spacing w:val="0"/>
          <w:w w:val="100"/>
          <w:position w:val="0"/>
          <w:sz w:val="21"/>
          <w:szCs w:val="21"/>
          <w14:textFill>
            <w14:solidFill>
              <w14:schemeClr w14:val="tx1"/>
            </w14:solidFill>
          </w14:textFill>
        </w:rPr>
        <w:t>违例</w:t>
      </w:r>
    </w:p>
    <w:p w14:paraId="0C191858">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E01. 裁判在发现战队违规后，立即向该战队宣布违例并扣除该战队20分。在此期间，比赛计时将不会停止。</w:t>
      </w:r>
    </w:p>
    <w:p w14:paraId="6842B1B8">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E02.比赛中，若因违规行为获得了得分优势则该得分优势无效，且该得分道具将失效。</w:t>
      </w:r>
    </w:p>
    <w:p w14:paraId="5BC1D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b/>
          <w:bCs/>
          <w:color w:val="000000" w:themeColor="text1"/>
          <w:spacing w:val="0"/>
          <w:w w:val="100"/>
          <w:position w:val="0"/>
          <w:sz w:val="21"/>
          <w:szCs w:val="21"/>
          <w14:textFill>
            <w14:solidFill>
              <w14:schemeClr w14:val="tx1"/>
            </w14:solidFill>
          </w14:textFill>
        </w:rPr>
        <w:t>得分道具失效</w:t>
      </w:r>
    </w:p>
    <w:p w14:paraId="0FDFCE2C">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 xml:space="preserve">E03.若违规触碰场地道具及得分道具，则裁判将宣布相关道具失效。已经失效的得分道具将会被裁判移除出比赛场地，且无法继续获得分数。裁判有权根 据本手册内容对该得分道具失效前的最终状态是否计分进行裁定。计分阶段，若得分道具与机器人存在接触，该得分道具无论是否处于得分状态都不算得分。 </w:t>
      </w:r>
    </w:p>
    <w:p w14:paraId="08163C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取消本场比赛资格</w:t>
      </w:r>
    </w:p>
    <w:p w14:paraId="367435BA">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E04.本场比赛成绩作废，但不影响其他场次比赛。</w:t>
      </w:r>
    </w:p>
    <w:p w14:paraId="487B8B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both"/>
        <w:textAlignment w:val="auto"/>
        <w:rPr>
          <w:rFonts w:hint="eastAsia" w:ascii="黑体" w:hAnsi="黑体" w:eastAsia="黑体" w:cs="黑体"/>
          <w:b/>
          <w:bCs/>
          <w:color w:val="000000" w:themeColor="text1"/>
          <w:spacing w:val="0"/>
          <w:w w:val="100"/>
          <w:position w:val="0"/>
          <w:sz w:val="21"/>
          <w:szCs w:val="21"/>
          <w14:textFill>
            <w14:solidFill>
              <w14:schemeClr w14:val="tx1"/>
            </w14:solidFill>
          </w14:textFill>
        </w:rPr>
      </w:pPr>
      <w:r>
        <w:rPr>
          <w:rFonts w:hint="eastAsia" w:ascii="黑体" w:hAnsi="黑体" w:eastAsia="黑体" w:cs="黑体"/>
          <w:b/>
          <w:bCs/>
          <w:color w:val="000000" w:themeColor="text1"/>
          <w:spacing w:val="0"/>
          <w:w w:val="100"/>
          <w:position w:val="0"/>
          <w:sz w:val="21"/>
          <w:szCs w:val="21"/>
          <w14:textFill>
            <w14:solidFill>
              <w14:schemeClr w14:val="tx1"/>
            </w14:solidFill>
          </w14:textFill>
        </w:rPr>
        <w:t>取消全场比赛资格</w:t>
      </w:r>
    </w:p>
    <w:p w14:paraId="5F9C077F">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firstLine="440" w:firstLineChars="200"/>
        <w:jc w:val="left"/>
        <w:textAlignment w:val="auto"/>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lang w:val="en-US" w:eastAsia="zh-CN" w:bidi="ar-SA"/>
          <w14:textFill>
            <w14:solidFill>
              <w14:schemeClr w14:val="tx1"/>
            </w14:solidFill>
          </w14:textFill>
        </w:rPr>
        <w:t>E05.该战队不得继续参与该场比赛或下一场比赛，所有场次比赛成绩作废，该战队将失去继续参加本次比赛的机会和评奖资格。</w:t>
      </w:r>
    </w:p>
    <w:p w14:paraId="6452BA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000000" w:themeColor="text1"/>
          <w:sz w:val="24"/>
          <w:szCs w:val="24"/>
          <w:lang w:val="en-US" w:eastAsia="zh-CN"/>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 xml:space="preserve">6.2安全规则 </w:t>
      </w:r>
    </w:p>
    <w:p w14:paraId="1422F1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机器人安全</w:t>
      </w:r>
    </w:p>
    <w:p w14:paraId="153058C5">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RO1 战队对机器人的设计搭建，须符合技术规范的要求。</w:t>
      </w:r>
    </w:p>
    <w:p w14:paraId="48C6A0A4">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R02 机器人的各种零部件需安全使用。</w:t>
      </w:r>
    </w:p>
    <w:p w14:paraId="29E41474">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R03 机器人不可有主动分离零部件（发射、弹射等）的动作。</w:t>
      </w:r>
    </w:p>
    <w:p w14:paraId="33A16506">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R04 比赛全程中机器人不得使用包括但不限于双面胶或胶水黏贴场地道具。</w:t>
      </w:r>
    </w:p>
    <w:p w14:paraId="33DC0575">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R05 裁判有权拒绝危险的机器人进入赛场进行比赛。裁判有权依据机器人危险程度判断是否取消战队全场比赛资格。</w:t>
      </w:r>
    </w:p>
    <w:p w14:paraId="7C2334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参赛队员安全规则</w:t>
      </w:r>
    </w:p>
    <w:p w14:paraId="3DFE4C68">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R06 参赛队员需在指导教师的引导下，仔细阅读本手册后，进行比赛的准备与机器人的设计搭建。</w:t>
      </w:r>
    </w:p>
    <w:p w14:paraId="1007F0AF">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R07 参赛队员在准备比赛的过程中不可擅自进行危险操作。</w:t>
      </w:r>
    </w:p>
    <w:p w14:paraId="0CAF0121">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R08 在使用工具（螺丝刀、锋利刀具）等危险物品时需注意安全。</w:t>
      </w:r>
    </w:p>
    <w:p w14:paraId="7DC5213F">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R09 比赛中，参赛选手应佩戴护目镜；留长发者，须将长发扎起；战队禁止穿露脚趾的鞋进入赛场。</w:t>
      </w:r>
    </w:p>
    <w:p w14:paraId="4601F1CA">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R10 比赛中，战队不可进行按压赛台，破坏场地道具等危险动作。</w:t>
      </w:r>
    </w:p>
    <w:p w14:paraId="2B2A92A7">
      <w:pPr>
        <w:pStyle w:val="8"/>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13" w:lineRule="exact"/>
        <w:ind w:leftChars="0" w:firstLine="440" w:firstLineChars="200"/>
        <w:jc w:val="both"/>
        <w:textAlignment w:val="auto"/>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如不符合以上安全要求，裁判有权拒绝战队进入赛场进行比赛，要求战队整改直至解决相关问题；裁判有权依据危险程度判断是否当场取消战队全场比赛资格。</w:t>
      </w:r>
    </w:p>
    <w:p w14:paraId="5A95AE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hint="eastAsia" w:ascii="黑体" w:hAnsi="黑体" w:eastAsia="黑体" w:cs="黑体"/>
          <w:b/>
          <w:bCs/>
          <w:color w:val="000000" w:themeColor="text1"/>
          <w:sz w:val="24"/>
          <w:szCs w:val="24"/>
          <w:lang w:val="en-US" w:eastAsia="zh-CN"/>
          <w14:textFill>
            <w14:solidFill>
              <w14:schemeClr w14:val="tx1"/>
            </w14:solidFill>
          </w14:textFill>
        </w:rPr>
        <w:t>6.3操作规则</w:t>
      </w:r>
      <w: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t xml:space="preserve"> </w:t>
      </w:r>
    </w:p>
    <w:p w14:paraId="57BDAF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参赛选手错误站位</w:t>
      </w:r>
    </w:p>
    <w:p w14:paraId="28EB1400">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highlight w:val="none"/>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 xml:space="preserve">R11. </w:t>
      </w:r>
      <w:r>
        <w:rPr>
          <w:rFonts w:hint="eastAsia" w:ascii="仿宋" w:hAnsi="仿宋" w:eastAsia="仿宋" w:cs="仿宋"/>
          <w:i w:val="0"/>
          <w:iCs w:val="0"/>
          <w:color w:val="000000" w:themeColor="text1"/>
          <w:spacing w:val="0"/>
          <w:w w:val="100"/>
          <w:kern w:val="0"/>
          <w:position w:val="0"/>
          <w:sz w:val="22"/>
          <w:szCs w:val="22"/>
          <w:highlight w:val="none"/>
          <w:lang w:val="en-US" w:eastAsia="zh-CN" w:bidi="ar-SA"/>
          <w14:textFill>
            <w14:solidFill>
              <w14:schemeClr w14:val="tx1"/>
            </w14:solidFill>
          </w14:textFill>
        </w:rPr>
        <w:t>比赛全程，参赛队员须站在规定区域进行比赛。自动控制阶段，参赛队员须站在自动任务区的规定操作区域。手动控制阶段，选手需要兼任操作手与观察手的角色，在图示对应的区域内进行比赛，参赛队员不可在操作区外进行比赛。操作区域实际大小视比赛现场情况而定。</w:t>
      </w:r>
    </w:p>
    <w:p w14:paraId="6E3E8C1A">
      <w:pPr>
        <w:pStyle w:val="8"/>
        <w:keepNext w:val="0"/>
        <w:keepLines w:val="0"/>
        <w:widowControl w:val="0"/>
        <w:shd w:val="clear" w:color="auto" w:fill="auto"/>
        <w:bidi w:val="0"/>
        <w:spacing w:before="0" w:after="100" w:line="413" w:lineRule="exact"/>
        <w:ind w:right="0"/>
        <w:jc w:val="left"/>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cs="微软雅黑"/>
          <w:bCs/>
          <w:color w:val="000000" w:themeColor="text1"/>
          <w:sz w:val="24"/>
          <w:szCs w:val="21"/>
          <w14:textFill>
            <w14:solidFill>
              <w14:schemeClr w14:val="tx1"/>
            </w14:solidFill>
          </w14:textFill>
        </w:rPr>
        <w:drawing>
          <wp:anchor distT="0" distB="0" distL="114300" distR="114300" simplePos="0" relativeHeight="251667456" behindDoc="0" locked="0" layoutInCell="1" allowOverlap="1">
            <wp:simplePos x="0" y="0"/>
            <wp:positionH relativeFrom="margin">
              <wp:posOffset>939165</wp:posOffset>
            </wp:positionH>
            <wp:positionV relativeFrom="paragraph">
              <wp:posOffset>227965</wp:posOffset>
            </wp:positionV>
            <wp:extent cx="3999230" cy="3326765"/>
            <wp:effectExtent l="0" t="0" r="8890" b="10795"/>
            <wp:wrapTopAndBottom/>
            <wp:docPr id="87" name="图片 4" descr="C:/Users/张自强/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C:/Users/张自强/Desktop/图片1.png图片1"/>
                    <pic:cNvPicPr>
                      <a:picLocks noChangeAspect="1"/>
                    </pic:cNvPicPr>
                  </pic:nvPicPr>
                  <pic:blipFill>
                    <a:blip r:embed="rId47"/>
                    <a:srcRect t="8" b="8"/>
                    <a:stretch>
                      <a:fillRect/>
                    </a:stretch>
                  </pic:blipFill>
                  <pic:spPr>
                    <a:xfrm>
                      <a:off x="0" y="0"/>
                      <a:ext cx="3999230" cy="3326765"/>
                    </a:xfrm>
                    <a:prstGeom prst="rect">
                      <a:avLst/>
                    </a:prstGeom>
                  </pic:spPr>
                </pic:pic>
              </a:graphicData>
            </a:graphic>
          </wp:anchor>
        </w:drawing>
      </w:r>
    </w:p>
    <w:p w14:paraId="67CA605E">
      <w:pPr>
        <w:pStyle w:val="13"/>
        <w:keepNext w:val="0"/>
        <w:keepLines w:val="0"/>
        <w:widowControl w:val="0"/>
        <w:shd w:val="clear" w:color="auto" w:fill="auto"/>
        <w:bidi w:val="0"/>
        <w:spacing w:before="0" w:after="100" w:line="432" w:lineRule="exact"/>
        <w:ind w:right="0"/>
        <w:jc w:val="cente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t>选手站位示意图</w:t>
      </w:r>
    </w:p>
    <w:p w14:paraId="0779BE8D">
      <w:pPr>
        <w:pStyle w:val="13"/>
        <w:keepNext w:val="0"/>
        <w:keepLines w:val="0"/>
        <w:widowControl w:val="0"/>
        <w:shd w:val="clear" w:color="auto" w:fill="auto"/>
        <w:bidi w:val="0"/>
        <w:spacing w:before="0" w:after="100" w:line="432" w:lineRule="exact"/>
        <w:ind w:left="0" w:right="0" w:firstLine="420" w:firstLineChars="200"/>
        <w:jc w:val="center"/>
        <w:rPr>
          <w:rFonts w:hint="eastAsia" w:ascii="黑体" w:hAnsi="黑体" w:eastAsia="黑体" w:cs="黑体"/>
          <w:color w:val="000000" w:themeColor="text1"/>
          <w:spacing w:val="0"/>
          <w:w w:val="100"/>
          <w:position w:val="0"/>
          <w:sz w:val="21"/>
          <w:szCs w:val="21"/>
          <w:lang w:val="en-US" w:eastAsia="zh-CN" w:bidi="en-US"/>
          <w14:textFill>
            <w14:solidFill>
              <w14:schemeClr w14:val="tx1"/>
            </w14:solidFill>
          </w14:textFill>
        </w:rPr>
      </w:pPr>
    </w:p>
    <w:p w14:paraId="38AC6D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机器人的启动、重启与改装规则</w:t>
      </w:r>
    </w:p>
    <w:p w14:paraId="6DB3D41F">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R12.  参赛队员应在裁判宣布比赛开始后启动机器人。若机器人提前发生位移，则视为机器人提前启动。机器人启动时，需完全进入启动区。</w:t>
      </w:r>
    </w:p>
    <w:p w14:paraId="17C5B5B8">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R13. 参赛队员在比赛过程中，可以随时向裁判申请重启或改装机器人，在获得许可后，参赛队员可对本方机器人进行重启或改装。比赛不会因机器人重启和改装而暂停，计时将持续进行。</w:t>
      </w:r>
    </w:p>
    <w:p w14:paraId="0E3091A1">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R14. 若参赛队员选择重启或改装本方机器人，参赛队员须向裁判举手并 喊出“红/蓝方请求，重启”，并在裁判喊出“同意红/蓝方重启”后方可取出本方机器人进行重启或改装，战队不得未经裁判允许擅自重启机器人。</w:t>
      </w:r>
    </w:p>
    <w:p w14:paraId="168E3AFF">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R15. 在自动控制阶段，获得裁判的重启许可后，参赛选手可直接接触机器人；</w:t>
      </w:r>
      <w:r>
        <w:rPr>
          <w:rFonts w:hint="eastAsia" w:ascii="仿宋" w:hAnsi="仿宋" w:eastAsia="仿宋" w:cs="仿宋"/>
          <w:b/>
          <w:bCs/>
          <w:i w:val="0"/>
          <w:iCs w:val="0"/>
          <w:color w:val="000000" w:themeColor="text1"/>
          <w:spacing w:val="0"/>
          <w:w w:val="100"/>
          <w:kern w:val="0"/>
          <w:position w:val="0"/>
          <w:sz w:val="22"/>
          <w:szCs w:val="22"/>
          <w:lang w:val="en-US" w:eastAsia="zh-CN" w:bidi="ar-SA"/>
          <w14:textFill>
            <w14:solidFill>
              <w14:schemeClr w14:val="tx1"/>
            </w14:solidFill>
          </w14:textFill>
        </w:rPr>
        <w:t>在手动控制阶段，操作手获得裁判的重启许后，可直接接触机器人。</w:t>
      </w:r>
    </w:p>
    <w:p w14:paraId="18EC9FDA">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R16. 机器人重启或改装后，需要从启动区重新出发，机器人需完全进入启动区。</w:t>
      </w:r>
    </w:p>
    <w:p w14:paraId="2F9710D7">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R17. 改装区域为启动区内及赛场外。</w:t>
      </w:r>
    </w:p>
    <w:p w14:paraId="3504D476">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R18. 若机器人位于参赛队员无法触碰的区域，参赛队员可向裁判举手并喊出“红/蓝方请求，请求裁判代取”后，由裁判代为取出，由于裁判代取机器人而带来的违规判罚由战队自行承担。</w:t>
      </w:r>
    </w:p>
    <w:p w14:paraId="0A3E3901">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·以下行为将会被判罚违例：提前启动机器人；机器人启动时未完全进入启动区；重启或改装机器人时未向裁判员申请；未在改装区域进行改装；手动控制阶段，选手未申请重启便直接或间接接触机器人。</w:t>
      </w:r>
    </w:p>
    <w:p w14:paraId="1A8D50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outlineLvl w:val="0"/>
        <w:rPr>
          <w:rFonts w:hint="eastAsia" w:ascii="黑体" w:hAnsi="黑体" w:eastAsia="黑体" w:cs="黑体"/>
          <w:b/>
          <w:bCs/>
          <w:color w:val="auto"/>
          <w:spacing w:val="0"/>
          <w:w w:val="100"/>
          <w:position w:val="0"/>
          <w:sz w:val="21"/>
          <w:szCs w:val="21"/>
          <w:lang w:val="en-US" w:eastAsia="zh-CN"/>
        </w:rPr>
      </w:pPr>
      <w:bookmarkStart w:id="8" w:name="_Toc21259"/>
      <w:r>
        <w:rPr>
          <w:rFonts w:hint="eastAsia" w:ascii="黑体" w:hAnsi="黑体" w:eastAsia="黑体" w:cs="黑体"/>
          <w:b/>
          <w:bCs/>
          <w:color w:val="auto"/>
          <w:spacing w:val="0"/>
          <w:w w:val="100"/>
          <w:position w:val="0"/>
          <w:sz w:val="21"/>
          <w:szCs w:val="21"/>
          <w:lang w:val="en-US" w:eastAsia="zh-CN"/>
        </w:rPr>
        <w:t>比赛期间道具的相关规则</w:t>
      </w:r>
      <w:bookmarkEnd w:id="8"/>
    </w:p>
    <w:p w14:paraId="0CDF486A">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R19. 单场比赛全程，得分道具在任意时刻的投影不得完全离开比赛场地。否则，在比赛期间该得分道具失效且无法再次被放回比赛场地内。</w:t>
      </w:r>
    </w:p>
    <w:p w14:paraId="47AE2435">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R20. 选手可以直接或间接接触完全进入手动装载区的方块类道具。</w:t>
      </w:r>
    </w:p>
    <w:p w14:paraId="05CE7AB0">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·直接接触：选手身体的任意部位（包括头发、手等）、挂在身上的饰品或证件，与场上的道具存在接触，视为直接接触；</w:t>
      </w:r>
    </w:p>
    <w:p w14:paraId="5E9CC45D">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·间接接触：参赛队员与机器人发生接触时，机器人与道具之间存在物理接触。</w:t>
      </w:r>
    </w:p>
    <w:p w14:paraId="67BB9F4E">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比赛期间，参赛队员直接触碰场上得分道具或任务道具；参赛队员申请重启后取机器人时，与机器人发生接触的同时机器人与道具之间存在物理接触，即参赛队员间接接触得分道具或任务道具；</w:t>
      </w:r>
    </w:p>
    <w:p w14:paraId="5D9DC921">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·以下行为将会被判得分道具失效：比赛期间，参赛队员直接或间接接触得分道具，被接触的得分道具，将会失效被移出场地外。</w:t>
      </w:r>
    </w:p>
    <w:p w14:paraId="5FFE7F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比赛期间机器人活动范围</w:t>
      </w:r>
    </w:p>
    <w:p w14:paraId="4A46E96A">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R21. 自动控制阶段，机器人可在自动任务区内完成任务，机器人垂直投影可部分进入手动任务区；手动控制阶段，机器人需在手动任务区内完成任务，机器人的任意部分垂直投影均不可进入自动任务区。</w:t>
      </w:r>
    </w:p>
    <w:p w14:paraId="6A026394">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R22. 自动控制阶段时，机器人可在己方及合作任务区进行活动。</w:t>
      </w:r>
    </w:p>
    <w:p w14:paraId="34C4E3FE">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·以下行为将会被判罚违例：手动控制阶段，机器人垂直投影完全或部分进入自动任务区；自动控制阶段，己方机器人完全进入另一颜色方的独立任务区；</w:t>
      </w:r>
    </w:p>
    <w:p w14:paraId="1982B416">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·以下行为将会被判罚取消本场比赛资格：自动控制阶段，机器人进入另一颜色方独立任务区后，拒绝重启机器人；自动控制阶段，机器人多次进入（3次及以上）另一颜色方的独立任务区。</w:t>
      </w:r>
    </w:p>
    <w:p w14:paraId="133091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比赛期间电子通讯设备及编程工具的使用</w:t>
      </w:r>
    </w:p>
    <w:p w14:paraId="19B83297">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R23. 选手仅可在手动控制阶段使用蓝牙手柄对己方机器人进行控制。</w:t>
      </w:r>
    </w:p>
    <w:p w14:paraId="5A4E6BA5">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R24. 比赛期间，战队不允许携带电脑、平板等可用于编程的工具进入赛场区。</w:t>
      </w:r>
    </w:p>
    <w:p w14:paraId="528B2337">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以下行为将会被判罚取消本场比赛资格：携带编程工具进入赛场区，经裁判提醒，仍拒绝送至场外或继续使用；自动控制阶段，使用蓝牙手柄操控机器人。</w:t>
      </w:r>
    </w:p>
    <w:p w14:paraId="1C9944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比赛期间场地相关规则</w:t>
      </w:r>
    </w:p>
    <w:p w14:paraId="45592D0D">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 xml:space="preserve">R25. 比赛期间，选手不可故意按压或撞击比赛场地。 </w:t>
      </w:r>
    </w:p>
    <w:p w14:paraId="25A31479">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R26. 在比赛全过程中，参赛队员、机器人不得故意毁坏场地元素。</w:t>
      </w:r>
    </w:p>
    <w:p w14:paraId="25B00F52">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·以下行为将会被判罚违例：故意撞击场地或按压场地；故意损毁场地元素；</w:t>
      </w:r>
    </w:p>
    <w:p w14:paraId="357B018E">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·如因此违例行为而获得得分优势，则该得分无效，与该行为相关的得分道具也将被移出场外。</w:t>
      </w:r>
    </w:p>
    <w:p w14:paraId="3C3C8E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按时到达赛场</w:t>
      </w:r>
    </w:p>
    <w:p w14:paraId="0F3B2C97">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R27. 队伍在实际比赛规定赛程中，需按照赛程，按时抵达赛场；如实际赛程有变化，则以现场通知赛程为准。</w:t>
      </w:r>
    </w:p>
    <w:p w14:paraId="3A7991CF">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·以下行为将会被判罚取消队伍本场比赛资格：实际比赛规定赛程中，超过5分钟未抵达赛场。</w:t>
      </w:r>
    </w:p>
    <w:p w14:paraId="561AC49D">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·以下行为将会被判罚取消全场比赛成绩：队伍报到检录后，无法继续参赛。该战队涉及到的比赛场次照常比赛</w:t>
      </w:r>
    </w:p>
    <w:p w14:paraId="113668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场外指导</w:t>
      </w:r>
    </w:p>
    <w:p w14:paraId="37B8676A">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R28. 比赛过程中，不得出现赛场外的指导行为。</w:t>
      </w:r>
    </w:p>
    <w:p w14:paraId="51AA25CF">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违规判罚：首次给予口头警告，二次违规将判罚违例，情况严重者取消战队本场比赛资格。</w:t>
      </w:r>
    </w:p>
    <w:p w14:paraId="626AA4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过分行为</w:t>
      </w:r>
    </w:p>
    <w:p w14:paraId="15387707">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R29. 在全场比赛期间，出现包括但不限于以下情形的，情节恶劣者裁判有权取消全场比赛成绩：</w:t>
      </w:r>
    </w:p>
    <w:p w14:paraId="0F400D70">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·不礼貌行为（辱骂，脏话，肢体接触）。</w:t>
      </w:r>
    </w:p>
    <w:p w14:paraId="680207F7">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·严重影响比赛场地、观众安全导致比赛无法正常进行。</w:t>
      </w:r>
    </w:p>
    <w:p w14:paraId="1D9FBEEE">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·严重违反竞赛精神（作弊）。</w:t>
      </w:r>
    </w:p>
    <w:p w14:paraId="23CCFCAD">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·重复或无视裁判警告，公然违例。</w:t>
      </w:r>
    </w:p>
    <w:p w14:paraId="1129C408">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·恶意投诉</w:t>
      </w:r>
    </w:p>
    <w:p w14:paraId="562AB8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异常状态</w:t>
      </w:r>
    </w:p>
    <w:p w14:paraId="6377932F">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R30. 当出现包括但不限于如下状态时：</w:t>
      </w:r>
    </w:p>
    <w:p w14:paraId="6853DF04">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·安全隐患：赛场内出现关于场地、参赛队员和机器人的安全隐患。</w:t>
      </w:r>
    </w:p>
    <w:p w14:paraId="405BD6BD">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·场地道具缺失或损坏：比赛场地和场地道具的缺失或损坏导致无法正常进行比赛。</w:t>
      </w:r>
    </w:p>
    <w:p w14:paraId="4A51A7CB">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·重赛：重赛将由裁判根据实际情况慎重讨论决定。</w:t>
      </w:r>
    </w:p>
    <w:p w14:paraId="35F460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jc w:val="both"/>
        <w:textAlignment w:val="auto"/>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pPr>
      <w:r>
        <w:rPr>
          <w:rFonts w:hint="eastAsia" w:ascii="黑体" w:hAnsi="黑体" w:eastAsia="黑体" w:cs="黑体"/>
          <w:b/>
          <w:bCs/>
          <w:color w:val="000000" w:themeColor="text1"/>
          <w:spacing w:val="0"/>
          <w:w w:val="100"/>
          <w:position w:val="0"/>
          <w:sz w:val="21"/>
          <w:szCs w:val="21"/>
          <w:lang w:val="en-US" w:eastAsia="zh-CN"/>
          <w14:textFill>
            <w14:solidFill>
              <w14:schemeClr w14:val="tx1"/>
            </w14:solidFill>
          </w14:textFill>
        </w:rPr>
        <w:t>场地、道具不确定性</w:t>
      </w:r>
    </w:p>
    <w:p w14:paraId="23083B72">
      <w:pPr>
        <w:pStyle w:val="8"/>
        <w:keepNext w:val="0"/>
        <w:keepLines w:val="0"/>
        <w:widowControl w:val="0"/>
        <w:shd w:val="clear" w:color="auto" w:fill="auto"/>
        <w:bidi w:val="0"/>
        <w:spacing w:before="0" w:after="100" w:line="413" w:lineRule="exact"/>
        <w:ind w:left="0" w:right="0" w:firstLine="440" w:firstLineChars="200"/>
        <w:jc w:val="left"/>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pPr>
      <w:r>
        <w:rPr>
          <w:rFonts w:hint="eastAsia" w:ascii="仿宋" w:hAnsi="仿宋" w:eastAsia="仿宋" w:cs="仿宋"/>
          <w:i w:val="0"/>
          <w:iCs w:val="0"/>
          <w:color w:val="000000" w:themeColor="text1"/>
          <w:spacing w:val="0"/>
          <w:w w:val="100"/>
          <w:kern w:val="0"/>
          <w:position w:val="0"/>
          <w:sz w:val="22"/>
          <w:szCs w:val="22"/>
          <w:lang w:val="en-US" w:eastAsia="zh-CN" w:bidi="ar-SA"/>
          <w14:textFill>
            <w14:solidFill>
              <w14:schemeClr w14:val="tx1"/>
            </w14:solidFill>
          </w14:textFill>
        </w:rPr>
        <w:t>R31. 在由于生产和加工的不确定性，所有道具及场地将存在不可避免的细微误差（尺寸、重量、颜色、平整度等）。战队在设计搭建机器人时，须考虑此误差因素，适应不同道具及场地。如现场有其他适配道具，选手可在赛前申请替换。机器人应该能够适应如场地褶皱、灯光变化等不可改变的因素，凡因这些不可改变因素产生的机器人表现差异，战队应自行完成针对性调试。</w:t>
      </w:r>
    </w:p>
    <w:p w14:paraId="4939404F">
      <w:pPr>
        <w:pStyle w:val="13"/>
        <w:keepNext w:val="0"/>
        <w:keepLines w:val="0"/>
        <w:widowControl w:val="0"/>
        <w:shd w:val="clear" w:color="auto" w:fill="auto"/>
        <w:bidi w:val="0"/>
        <w:spacing w:before="0" w:after="100" w:line="432" w:lineRule="exact"/>
        <w:ind w:left="0" w:right="0" w:firstLine="440" w:firstLineChars="200"/>
        <w:jc w:val="left"/>
        <w:rPr>
          <w:rFonts w:hint="default" w:ascii="仿宋" w:hAnsi="仿宋" w:eastAsia="仿宋" w:cs="仿宋"/>
          <w:color w:val="000000" w:themeColor="text1"/>
          <w:spacing w:val="0"/>
          <w:w w:val="100"/>
          <w:kern w:val="0"/>
          <w:position w:val="0"/>
          <w:sz w:val="22"/>
          <w:szCs w:val="22"/>
          <w:lang w:val="en-US" w:eastAsia="zh-CN" w:bidi="ar-SA"/>
          <w14:textFill>
            <w14:solidFill>
              <w14:schemeClr w14:val="tx1"/>
            </w14:solidFill>
          </w14:textFill>
        </w:rPr>
      </w:pPr>
    </w:p>
    <w:p w14:paraId="4C1D9591">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leftChars="0" w:firstLine="0" w:firstLineChars="0"/>
        <w:jc w:val="both"/>
        <w:textAlignment w:val="auto"/>
        <w:outlineLvl w:val="0"/>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ascii="黑体" w:hAnsi="黑体" w:eastAsia="黑体" w:cs="黑体"/>
          <w:b/>
          <w:bCs/>
          <w:color w:val="000000" w:themeColor="text1"/>
          <w:sz w:val="28"/>
          <w:szCs w:val="28"/>
          <w:lang w:val="en-US" w:eastAsia="zh-CN"/>
          <w14:textFill>
            <w14:solidFill>
              <w14:schemeClr w14:val="tx1"/>
            </w14:solidFill>
          </w14:textFill>
        </w:rPr>
        <w:t>申诉及仲裁</w:t>
      </w:r>
    </w:p>
    <w:p w14:paraId="6CCD8C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7.1比赛结果确认</w:t>
      </w:r>
    </w:p>
    <w:p w14:paraId="327F7B2C">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成绩确认</w:t>
      </w:r>
    </w:p>
    <w:p w14:paraId="34228D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比赛结束，在裁判做完比赛统计和判定后，双方队长需要在成绩确认单上签字确认比赛成绩，经队长对比赛成绩签字确认后，组委会不再接受该场比赛的任何申诉。</w:t>
      </w:r>
    </w:p>
    <w:p w14:paraId="7707EA68">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争议处理</w:t>
      </w:r>
    </w:p>
    <w:p w14:paraId="5F5119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若当场比赛的参赛队员对该场比赛结果仍存在异议，且对当值裁判的解释依然不认同的，可不签字确认成绩，但须在成绩确认单备注栏上写明情况后方可离场。</w:t>
      </w:r>
    </w:p>
    <w:p w14:paraId="1D8C04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7.2申诉流程及申诉时效</w:t>
      </w:r>
    </w:p>
    <w:p w14:paraId="3CA411CF">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申诉步骤</w:t>
      </w:r>
    </w:p>
    <w:p w14:paraId="6FBDF6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应按照规定的流程，在“有效申诉期”内提出，并遵循“文明参赛”的竞赛精神。先由参赛战队队长填写《申诉表》，然后配合仲裁委员会调查，如仲裁委员会有需要，将要求申诉双方到达指定地点调查情况。调查期间，双方在场只能是队长、上场选手，申诉战队队长必须出场。仲裁委员会有权在回避指导教师、学生家长及亲友的环境下和申诉选手单独沟通。调查过程中申诉方应清晰地表达申诉诉求，描述客观事实，不应带过多的情绪。</w:t>
      </w:r>
    </w:p>
    <w:p w14:paraId="2B8D20AF">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有效申诉期</w:t>
      </w:r>
    </w:p>
    <w:p w14:paraId="36CA05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有效申诉期一般为单场比赛结束后30分钟内，申诉方及被申诉方须在与裁判长约定的时间内到场。</w:t>
      </w:r>
    </w:p>
    <w:p w14:paraId="34CCFC17">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申诉回应时效</w:t>
      </w:r>
    </w:p>
    <w:p w14:paraId="61ADF2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仲裁委员会一般会在当天比赛结束之后或次日比赛开始之前回应申诉。</w:t>
      </w:r>
    </w:p>
    <w:p w14:paraId="08B77F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7.3无效申诉</w:t>
      </w:r>
    </w:p>
    <w:p w14:paraId="37374BCF">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超时的申诉</w:t>
      </w:r>
    </w:p>
    <w:p w14:paraId="3598BE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黑体" w:hAnsi="黑体" w:eastAsia="黑体" w:cs="黑体"/>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未能在“有效申诉期”内提交的申诉，将被视为无效且不予受理。若申诉方未能在与仲裁委员会约定的时间内到场，或在调查时中途无故离场，将被视为无 效申诉。被申诉方未能在与仲裁委员会约定的时间内到场，仲裁委员会将会直接 判定仲裁结果并作为最终结果。</w:t>
      </w:r>
    </w:p>
    <w:p w14:paraId="2C57207D">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申诉人员超出规定</w:t>
      </w:r>
    </w:p>
    <w:p w14:paraId="0BA394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申诉方必须为参赛战队选手，其他人员的申诉将不予以受理。申诉双方的家长、指导教师等超出规定的人员在未经仲裁委员会允许的情况下参与仲裁过程, 仲裁委员会将会对违规战队提出警告。</w:t>
      </w:r>
    </w:p>
    <w:p w14:paraId="70366A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14:paraId="5C409903">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申诉诉求不清晰</w:t>
      </w:r>
    </w:p>
    <w:p w14:paraId="5D2CD0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若因情绪等因素无法客观冷静地表达仲裁诉求，导致仲裁委员会无法正常的 理解申诉事实，无法正常进行情况调查，仲裁委员会将会对犯规方提出警告。</w:t>
      </w:r>
    </w:p>
    <w:p w14:paraId="74E218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14:paraId="5F60A9AE">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不文明的申诉</w:t>
      </w:r>
    </w:p>
    <w:p w14:paraId="3E2802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申诉双方不得做出不文明的行为，不得产生过激的动作和言语。</w:t>
      </w:r>
    </w:p>
    <w:p w14:paraId="6F3AB1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·多次警告无效，将取消比赛资格。</w:t>
      </w:r>
    </w:p>
    <w:p w14:paraId="3E5F27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7.4仲裁流程</w:t>
      </w:r>
    </w:p>
    <w:p w14:paraId="21981B93">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仲裁处理过程</w:t>
      </w:r>
    </w:p>
    <w:p w14:paraId="7DD460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仲裁委员会由裁判长、仲裁顾问、赛事技术负责人组成。仲裁委员会负责受 理比赛中出现的申诉并进行仲裁调查，以保证大赛的顺利进行和大赛结果的公平、公正。任何比赛的回放录像、照片因可能存在因拍摄角度导致的不准确问题，仅作为仲裁委员会参考，不作为仲裁证据。</w:t>
      </w:r>
    </w:p>
    <w:p w14:paraId="3EA19EC4">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仲裁处理结果</w:t>
      </w:r>
    </w:p>
    <w:p w14:paraId="5E5DF9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仿宋" w:hAnsi="仿宋" w:eastAsia="仿宋" w:cs="仿宋"/>
          <w:color w:val="auto"/>
          <w:spacing w:val="0"/>
          <w:w w:val="100"/>
          <w:position w:val="0"/>
          <w:sz w:val="21"/>
          <w:szCs w:val="21"/>
          <w:lang w:val="en-US" w:eastAsia="zh-CN" w:bidi="en-US"/>
        </w:rPr>
      </w:pPr>
      <w:r>
        <w:rPr>
          <w:rFonts w:hint="eastAsia" w:ascii="仿宋" w:hAnsi="仿宋" w:eastAsia="仿宋" w:cs="仿宋"/>
          <w:color w:val="auto"/>
          <w:spacing w:val="0"/>
          <w:w w:val="100"/>
          <w:position w:val="0"/>
          <w:sz w:val="21"/>
          <w:szCs w:val="21"/>
          <w:lang w:val="en-US" w:eastAsia="zh-CN" w:bidi="en-US"/>
        </w:rPr>
        <w:t>仲裁结果分为“维持原本比赛成绩”和“双方重赛”两种，双方不可以再次 申诉。如若仲裁结果为“双方重赛”，双方需按照申诉单规定的时间场次进行重赛，规定时间5分钟内未到达场地进行比赛，视为放弃比赛。</w:t>
      </w:r>
    </w:p>
    <w:p w14:paraId="409FBF86">
      <w:pPr>
        <w:pStyle w:val="13"/>
        <w:keepNext w:val="0"/>
        <w:keepLines w:val="0"/>
        <w:widowControl w:val="0"/>
        <w:shd w:val="clear" w:color="auto" w:fill="auto"/>
        <w:bidi w:val="0"/>
        <w:spacing w:before="0" w:after="100" w:line="432" w:lineRule="exact"/>
        <w:ind w:left="0" w:right="0" w:firstLine="422" w:firstLineChars="200"/>
        <w:jc w:val="left"/>
        <w:rPr>
          <w:rFonts w:hint="eastAsia" w:ascii="黑体" w:hAnsi="黑体" w:eastAsia="黑体" w:cs="黑体"/>
          <w:b/>
          <w:bCs/>
          <w:color w:val="auto"/>
          <w:spacing w:val="0"/>
          <w:w w:val="100"/>
          <w:position w:val="0"/>
          <w:sz w:val="21"/>
          <w:szCs w:val="21"/>
          <w:lang w:val="en-US" w:eastAsia="zh-CN"/>
        </w:rPr>
      </w:pPr>
      <w:r>
        <w:rPr>
          <w:rFonts w:hint="eastAsia" w:ascii="黑体" w:hAnsi="黑体" w:eastAsia="黑体" w:cs="黑体"/>
          <w:b/>
          <w:bCs/>
          <w:color w:val="auto"/>
          <w:spacing w:val="0"/>
          <w:w w:val="100"/>
          <w:position w:val="0"/>
          <w:sz w:val="21"/>
          <w:szCs w:val="21"/>
          <w:lang w:val="en-US" w:eastAsia="zh-CN"/>
        </w:rPr>
        <w:t>仲裁处理补充</w:t>
      </w:r>
    </w:p>
    <w:p w14:paraId="117FC5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黑体" w:hAnsi="黑体" w:eastAsia="黑体" w:cs="黑体"/>
          <w:color w:val="auto"/>
          <w:sz w:val="28"/>
          <w:szCs w:val="28"/>
          <w:lang w:val="en-US" w:eastAsia="zh-CN"/>
        </w:rPr>
      </w:pPr>
      <w:r>
        <w:rPr>
          <w:rFonts w:hint="eastAsia" w:ascii="仿宋" w:hAnsi="仿宋" w:eastAsia="仿宋" w:cs="仿宋"/>
          <w:color w:val="auto"/>
          <w:spacing w:val="0"/>
          <w:w w:val="100"/>
          <w:position w:val="0"/>
          <w:sz w:val="21"/>
          <w:szCs w:val="21"/>
          <w:lang w:val="en-US" w:eastAsia="zh-CN" w:bidi="en-US"/>
        </w:rPr>
        <w:t>仲裁委员会给出最终仲裁结果后，双方均不能再对申诉结果产生异议。</w:t>
      </w:r>
    </w:p>
    <w:p w14:paraId="6A373968">
      <w:pPr>
        <w:spacing w:before="250" w:line="222" w:lineRule="auto"/>
        <w:outlineLvl w:val="1"/>
        <w:rPr>
          <w:rFonts w:ascii="黑体" w:hAnsi="黑体" w:eastAsia="黑体" w:cs="黑体"/>
          <w:sz w:val="28"/>
          <w:szCs w:val="28"/>
        </w:rPr>
      </w:pPr>
      <w:r>
        <w:rPr>
          <w:rFonts w:ascii="黑体" w:hAnsi="黑体" w:eastAsia="黑体" w:cs="黑体"/>
          <w:b/>
          <w:bCs/>
          <w:spacing w:val="-4"/>
          <w:sz w:val="28"/>
          <w:szCs w:val="28"/>
        </w:rPr>
        <w:t>八、奖项设置</w:t>
      </w:r>
    </w:p>
    <w:p w14:paraId="3C98BC07">
      <w:pPr>
        <w:pStyle w:val="2"/>
        <w:spacing w:before="239" w:line="383" w:lineRule="auto"/>
        <w:ind w:left="4" w:firstLine="549"/>
        <w:jc w:val="both"/>
      </w:pPr>
      <w:r>
        <w:rPr>
          <w:spacing w:val="1"/>
        </w:rPr>
        <w:t xml:space="preserve">本次数字中国创新大赛青少年 </w:t>
      </w:r>
      <w:r>
        <w:t>AI</w:t>
      </w:r>
      <w:r>
        <w:rPr>
          <w:spacing w:val="1"/>
        </w:rPr>
        <w:t xml:space="preserve"> 机器人赛道</w:t>
      </w:r>
      <w:r>
        <w:rPr>
          <w:rFonts w:hint="eastAsia"/>
          <w:spacing w:val="1"/>
          <w:lang w:val="en-US" w:eastAsia="zh-CN"/>
        </w:rPr>
        <w:t>-</w:t>
      </w:r>
      <w:r>
        <w:rPr>
          <w:spacing w:val="1"/>
        </w:rPr>
        <w:t>机器人</w:t>
      </w:r>
      <w:r>
        <w:rPr>
          <w:rFonts w:hint="eastAsia"/>
          <w:spacing w:val="1"/>
          <w:lang w:val="en-US" w:eastAsia="zh-CN"/>
        </w:rPr>
        <w:t>任务赛</w:t>
      </w:r>
      <w:r>
        <w:rPr>
          <w:spacing w:val="1"/>
        </w:rPr>
        <w:t>将根据比赛成绩</w:t>
      </w:r>
      <w:r>
        <w:rPr>
          <w:rFonts w:hint="eastAsia"/>
          <w:spacing w:val="1"/>
          <w:lang w:val="en-US" w:eastAsia="zh-CN"/>
        </w:rPr>
        <w:t>设置</w:t>
      </w:r>
      <w:r>
        <w:rPr>
          <w:spacing w:val="2"/>
        </w:rPr>
        <w:t>一、二、三等奖。</w:t>
      </w:r>
      <w:bookmarkStart w:id="9" w:name="_GoBack"/>
      <w:bookmarkEnd w:id="9"/>
    </w:p>
    <w:p w14:paraId="3F1922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270FE7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15D1A0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5FAF57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0B6B44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70344E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78B60C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43393A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jc w:val="both"/>
        <w:textAlignment w:val="auto"/>
        <w:rPr>
          <w:rFonts w:hint="eastAsia" w:ascii="仿宋" w:hAnsi="仿宋" w:eastAsia="仿宋" w:cs="仿宋"/>
          <w:color w:val="000000" w:themeColor="text1"/>
          <w:spacing w:val="0"/>
          <w:w w:val="100"/>
          <w:kern w:val="0"/>
          <w:position w:val="0"/>
          <w:sz w:val="22"/>
          <w:szCs w:val="22"/>
          <w:u w:val="none"/>
          <w:shd w:val="clear" w:color="auto" w:fill="auto"/>
          <w:lang w:val="en-US" w:eastAsia="zh-CN" w:bidi="ar-SA"/>
          <w14:textFill>
            <w14:solidFill>
              <w14:schemeClr w14:val="tx1"/>
            </w14:solidFill>
          </w14:textFill>
        </w:rPr>
      </w:pPr>
    </w:p>
    <w:p w14:paraId="4B45506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sz w:val="28"/>
          <w:szCs w:val="28"/>
          <w:lang w:val="en-US" w:eastAsia="zh-CN"/>
        </w:rPr>
      </w:pPr>
    </w:p>
    <w:sectPr>
      <w:footerReference r:id="rId3" w:type="default"/>
      <w:pgSz w:w="11906" w:h="16838"/>
      <w:pgMar w:top="1417" w:right="1576" w:bottom="1417" w:left="1576" w:header="851" w:footer="992" w:gutter="0"/>
      <w:pgNumType w:fmt="decimal" w:start="7"/>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思源黑体 CN Regular">
    <w:altName w:val="黑体"/>
    <w:panose1 w:val="020B0500000000000000"/>
    <w:charset w:val="86"/>
    <w:family w:val="swiss"/>
    <w:pitch w:val="default"/>
    <w:sig w:usb0="00000000" w:usb1="00000000" w:usb2="00000016" w:usb3="00000000" w:csb0="60060107" w:csb1="00000000"/>
  </w:font>
  <w:font w:name="方正小标宋简体">
    <w:panose1 w:val="03000509000000000000"/>
    <w:charset w:val="86"/>
    <w:family w:val="auto"/>
    <w:pitch w:val="default"/>
    <w:sig w:usb0="00000001" w:usb1="080E0000" w:usb2="00000000" w:usb3="00000000" w:csb0="00040000" w:csb1="00000000"/>
  </w:font>
  <w:font w:name="思源黑体 CN Heavy">
    <w:altName w:val="黑体"/>
    <w:panose1 w:val="020B0A00000000000000"/>
    <w:charset w:val="86"/>
    <w:family w:val="swiss"/>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C4951">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7F9C2">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947F9C2">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mc:Fallback>
      </mc:AlternateContent>
    </w:r>
  </w:p>
  <w:p w14:paraId="73BA8B2A">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46CD4"/>
    <w:multiLevelType w:val="singleLevel"/>
    <w:tmpl w:val="02546CD4"/>
    <w:lvl w:ilvl="0" w:tentative="0">
      <w:start w:val="1"/>
      <w:numFmt w:val="decimal"/>
      <w:lvlText w:val="(%1)"/>
      <w:lvlJc w:val="left"/>
      <w:pPr>
        <w:tabs>
          <w:tab w:val="left" w:pos="312"/>
        </w:tabs>
      </w:pPr>
    </w:lvl>
  </w:abstractNum>
  <w:abstractNum w:abstractNumId="1">
    <w:nsid w:val="05BF319E"/>
    <w:multiLevelType w:val="multilevel"/>
    <w:tmpl w:val="05BF319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4ED7933"/>
    <w:multiLevelType w:val="multilevel"/>
    <w:tmpl w:val="14ED7933"/>
    <w:lvl w:ilvl="0" w:tentative="0">
      <w:start w:val="1"/>
      <w:numFmt w:val="decimalZero"/>
      <w:pStyle w:val="22"/>
      <w:lvlText w:val="R%1. "/>
      <w:lvlJc w:val="left"/>
      <w:pPr>
        <w:ind w:left="1213" w:hanging="362"/>
      </w:pPr>
      <w:rPr>
        <w:rFonts w:hint="eastAsia" w:ascii="Times New Roman" w:hAnsi="Times New Roman" w:cs="Times New Roman"/>
        <w:b/>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440" w:hanging="362"/>
      </w:pPr>
      <w:rPr>
        <w:rFonts w:hint="eastAsia"/>
      </w:rPr>
    </w:lvl>
    <w:lvl w:ilvl="2" w:tentative="0">
      <w:start w:val="1"/>
      <w:numFmt w:val="lowerRoman"/>
      <w:lvlText w:val="%3."/>
      <w:lvlJc w:val="right"/>
      <w:pPr>
        <w:ind w:left="1667" w:hanging="362"/>
      </w:pPr>
      <w:rPr>
        <w:rFonts w:hint="eastAsia"/>
      </w:rPr>
    </w:lvl>
    <w:lvl w:ilvl="3" w:tentative="0">
      <w:start w:val="1"/>
      <w:numFmt w:val="decimal"/>
      <w:lvlText w:val="%4."/>
      <w:lvlJc w:val="left"/>
      <w:pPr>
        <w:ind w:left="1894" w:hanging="362"/>
      </w:pPr>
      <w:rPr>
        <w:rFonts w:hint="eastAsia"/>
      </w:rPr>
    </w:lvl>
    <w:lvl w:ilvl="4" w:tentative="0">
      <w:start w:val="1"/>
      <w:numFmt w:val="lowerLetter"/>
      <w:lvlText w:val="%5."/>
      <w:lvlJc w:val="left"/>
      <w:pPr>
        <w:ind w:left="2121" w:hanging="362"/>
      </w:pPr>
      <w:rPr>
        <w:rFonts w:hint="eastAsia"/>
      </w:rPr>
    </w:lvl>
    <w:lvl w:ilvl="5" w:tentative="0">
      <w:start w:val="1"/>
      <w:numFmt w:val="lowerRoman"/>
      <w:lvlText w:val="%6."/>
      <w:lvlJc w:val="right"/>
      <w:pPr>
        <w:ind w:left="2348" w:hanging="362"/>
      </w:pPr>
      <w:rPr>
        <w:rFonts w:hint="eastAsia"/>
      </w:rPr>
    </w:lvl>
    <w:lvl w:ilvl="6" w:tentative="0">
      <w:start w:val="1"/>
      <w:numFmt w:val="decimal"/>
      <w:lvlText w:val="%7."/>
      <w:lvlJc w:val="left"/>
      <w:pPr>
        <w:ind w:left="2575" w:hanging="362"/>
      </w:pPr>
      <w:rPr>
        <w:rFonts w:hint="eastAsia"/>
      </w:rPr>
    </w:lvl>
    <w:lvl w:ilvl="7" w:tentative="0">
      <w:start w:val="1"/>
      <w:numFmt w:val="lowerLetter"/>
      <w:lvlText w:val="%8."/>
      <w:lvlJc w:val="left"/>
      <w:pPr>
        <w:ind w:left="2802" w:hanging="362"/>
      </w:pPr>
      <w:rPr>
        <w:rFonts w:hint="eastAsia"/>
      </w:rPr>
    </w:lvl>
    <w:lvl w:ilvl="8" w:tentative="0">
      <w:start w:val="1"/>
      <w:numFmt w:val="lowerRoman"/>
      <w:lvlText w:val="%9."/>
      <w:lvlJc w:val="right"/>
      <w:pPr>
        <w:ind w:left="3029" w:hanging="362"/>
      </w:pPr>
      <w:rPr>
        <w:rFonts w:hint="eastAsia"/>
      </w:rPr>
    </w:lvl>
  </w:abstractNum>
  <w:abstractNum w:abstractNumId="3">
    <w:nsid w:val="263658B6"/>
    <w:multiLevelType w:val="singleLevel"/>
    <w:tmpl w:val="263658B6"/>
    <w:lvl w:ilvl="0" w:tentative="0">
      <w:start w:val="1"/>
      <w:numFmt w:val="lowerLetter"/>
      <w:lvlText w:val="%1."/>
      <w:lvlJc w:val="left"/>
      <w:pPr>
        <w:tabs>
          <w:tab w:val="left" w:pos="312"/>
        </w:tabs>
      </w:pPr>
    </w:lvl>
  </w:abstractNum>
  <w:abstractNum w:abstractNumId="4">
    <w:nsid w:val="5B7EBC4D"/>
    <w:multiLevelType w:val="singleLevel"/>
    <w:tmpl w:val="5B7EBC4D"/>
    <w:lvl w:ilvl="0" w:tentative="0">
      <w:start w:val="1"/>
      <w:numFmt w:val="chineseCounting"/>
      <w:suff w:val="nothing"/>
      <w:lvlText w:val="%1、"/>
      <w:lvlJc w:val="left"/>
      <w:rPr>
        <w:rFonts w:hint="eastAsia"/>
      </w:rPr>
    </w:lvl>
  </w:abstractNum>
  <w:abstractNum w:abstractNumId="5">
    <w:nsid w:val="640E3978"/>
    <w:multiLevelType w:val="multilevel"/>
    <w:tmpl w:val="640E3978"/>
    <w:lvl w:ilvl="0" w:tentative="0">
      <w:start w:val="1"/>
      <w:numFmt w:val="decimalZero"/>
      <w:pStyle w:val="21"/>
      <w:lvlText w:val="R%1. "/>
      <w:lvlJc w:val="left"/>
      <w:pPr>
        <w:ind w:left="1213" w:hanging="362"/>
      </w:pPr>
      <w:rPr>
        <w:rFonts w:hint="eastAsia"/>
        <w:b/>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lowerLetter"/>
      <w:lvlText w:val="%2)"/>
      <w:lvlJc w:val="left"/>
      <w:pPr>
        <w:ind w:left="1691" w:hanging="420"/>
      </w:pPr>
      <w:rPr>
        <w:rFonts w:hint="eastAsia"/>
      </w:rPr>
    </w:lvl>
    <w:lvl w:ilvl="2" w:tentative="0">
      <w:start w:val="1"/>
      <w:numFmt w:val="lowerRoman"/>
      <w:lvlText w:val="%3."/>
      <w:lvlJc w:val="right"/>
      <w:pPr>
        <w:ind w:left="2111" w:hanging="420"/>
      </w:pPr>
      <w:rPr>
        <w:rFonts w:hint="eastAsia"/>
      </w:rPr>
    </w:lvl>
    <w:lvl w:ilvl="3" w:tentative="0">
      <w:start w:val="1"/>
      <w:numFmt w:val="decimal"/>
      <w:lvlText w:val="%4."/>
      <w:lvlJc w:val="left"/>
      <w:pPr>
        <w:ind w:left="2531" w:hanging="420"/>
      </w:pPr>
      <w:rPr>
        <w:rFonts w:hint="eastAsia"/>
      </w:rPr>
    </w:lvl>
    <w:lvl w:ilvl="4" w:tentative="0">
      <w:start w:val="1"/>
      <w:numFmt w:val="lowerLetter"/>
      <w:lvlText w:val="%5)"/>
      <w:lvlJc w:val="left"/>
      <w:pPr>
        <w:ind w:left="2951" w:hanging="420"/>
      </w:pPr>
      <w:rPr>
        <w:rFonts w:hint="eastAsia"/>
      </w:rPr>
    </w:lvl>
    <w:lvl w:ilvl="5" w:tentative="0">
      <w:start w:val="1"/>
      <w:numFmt w:val="lowerRoman"/>
      <w:lvlText w:val="%6."/>
      <w:lvlJc w:val="right"/>
      <w:pPr>
        <w:ind w:left="3371" w:hanging="420"/>
      </w:pPr>
      <w:rPr>
        <w:rFonts w:hint="eastAsia"/>
      </w:rPr>
    </w:lvl>
    <w:lvl w:ilvl="6" w:tentative="0">
      <w:start w:val="1"/>
      <w:numFmt w:val="decimal"/>
      <w:lvlText w:val="%7."/>
      <w:lvlJc w:val="left"/>
      <w:pPr>
        <w:ind w:left="3791" w:hanging="420"/>
      </w:pPr>
      <w:rPr>
        <w:rFonts w:hint="eastAsia"/>
      </w:rPr>
    </w:lvl>
    <w:lvl w:ilvl="7" w:tentative="0">
      <w:start w:val="1"/>
      <w:numFmt w:val="lowerLetter"/>
      <w:lvlText w:val="%8)"/>
      <w:lvlJc w:val="left"/>
      <w:pPr>
        <w:ind w:left="4211" w:hanging="420"/>
      </w:pPr>
      <w:rPr>
        <w:rFonts w:hint="eastAsia"/>
      </w:rPr>
    </w:lvl>
    <w:lvl w:ilvl="8" w:tentative="0">
      <w:start w:val="1"/>
      <w:numFmt w:val="lowerRoman"/>
      <w:lvlText w:val="%9."/>
      <w:lvlJc w:val="right"/>
      <w:pPr>
        <w:ind w:left="4631" w:hanging="420"/>
      </w:pPr>
      <w:rPr>
        <w:rFonts w:hint="eastAsia"/>
      </w:rPr>
    </w:lvl>
  </w:abstractNum>
  <w:abstractNum w:abstractNumId="6">
    <w:nsid w:val="7B164970"/>
    <w:multiLevelType w:val="multilevel"/>
    <w:tmpl w:val="7B164970"/>
    <w:lvl w:ilvl="0" w:tentative="0">
      <w:start w:val="1"/>
      <w:numFmt w:val="decimalZero"/>
      <w:pStyle w:val="23"/>
      <w:lvlText w:val="T%1. "/>
      <w:lvlJc w:val="left"/>
      <w:pPr>
        <w:ind w:left="1211" w:hanging="360"/>
      </w:pPr>
      <w:rPr>
        <w:rFonts w:hint="eastAsia" w:ascii="思源黑体 CN Regular" w:hAnsi="思源黑体 CN Regular"/>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7">
    <w:nsid w:val="7BA24B9C"/>
    <w:multiLevelType w:val="multilevel"/>
    <w:tmpl w:val="7BA24B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ODY1Mjk2YmY5YTQwZDRhMmY0ZTYyOTdkZmM0NjIifQ=="/>
  </w:docVars>
  <w:rsids>
    <w:rsidRoot w:val="3F571B2E"/>
    <w:rsid w:val="000D23C7"/>
    <w:rsid w:val="00125861"/>
    <w:rsid w:val="00134A85"/>
    <w:rsid w:val="001669D4"/>
    <w:rsid w:val="0020060D"/>
    <w:rsid w:val="00384B9C"/>
    <w:rsid w:val="00496F82"/>
    <w:rsid w:val="006161FE"/>
    <w:rsid w:val="006360BD"/>
    <w:rsid w:val="007402CA"/>
    <w:rsid w:val="007A51B4"/>
    <w:rsid w:val="007E7BC3"/>
    <w:rsid w:val="00885B23"/>
    <w:rsid w:val="00A42231"/>
    <w:rsid w:val="00AE4E5E"/>
    <w:rsid w:val="00CD1788"/>
    <w:rsid w:val="00D30581"/>
    <w:rsid w:val="00E46AA6"/>
    <w:rsid w:val="00F66F31"/>
    <w:rsid w:val="00FE4037"/>
    <w:rsid w:val="010A6538"/>
    <w:rsid w:val="010B22B0"/>
    <w:rsid w:val="011B6AD7"/>
    <w:rsid w:val="011E3D92"/>
    <w:rsid w:val="01341807"/>
    <w:rsid w:val="013435B5"/>
    <w:rsid w:val="013B3A7E"/>
    <w:rsid w:val="013E4434"/>
    <w:rsid w:val="015123B9"/>
    <w:rsid w:val="015E37B5"/>
    <w:rsid w:val="016519C1"/>
    <w:rsid w:val="01687703"/>
    <w:rsid w:val="017B7436"/>
    <w:rsid w:val="0180264A"/>
    <w:rsid w:val="01802C9E"/>
    <w:rsid w:val="01877B89"/>
    <w:rsid w:val="019E75D4"/>
    <w:rsid w:val="01AA1AC9"/>
    <w:rsid w:val="01B42948"/>
    <w:rsid w:val="01EC0334"/>
    <w:rsid w:val="01F126CF"/>
    <w:rsid w:val="020967F0"/>
    <w:rsid w:val="023F4ABB"/>
    <w:rsid w:val="023F5693"/>
    <w:rsid w:val="02534464"/>
    <w:rsid w:val="02535CBD"/>
    <w:rsid w:val="02671768"/>
    <w:rsid w:val="02832A46"/>
    <w:rsid w:val="028A4E3F"/>
    <w:rsid w:val="028E3199"/>
    <w:rsid w:val="0293255D"/>
    <w:rsid w:val="02B524D4"/>
    <w:rsid w:val="02CD3CC1"/>
    <w:rsid w:val="02D92666"/>
    <w:rsid w:val="02E01C47"/>
    <w:rsid w:val="02FA438B"/>
    <w:rsid w:val="0302774B"/>
    <w:rsid w:val="03165668"/>
    <w:rsid w:val="033E071B"/>
    <w:rsid w:val="03595555"/>
    <w:rsid w:val="03636ED2"/>
    <w:rsid w:val="037E6D6A"/>
    <w:rsid w:val="03802AE2"/>
    <w:rsid w:val="03885E3A"/>
    <w:rsid w:val="03922815"/>
    <w:rsid w:val="03AA5DB1"/>
    <w:rsid w:val="03B1713F"/>
    <w:rsid w:val="03D41080"/>
    <w:rsid w:val="03E312C3"/>
    <w:rsid w:val="03F82FC0"/>
    <w:rsid w:val="04194CE4"/>
    <w:rsid w:val="041F679F"/>
    <w:rsid w:val="04212517"/>
    <w:rsid w:val="04471852"/>
    <w:rsid w:val="04671EF4"/>
    <w:rsid w:val="04695C6C"/>
    <w:rsid w:val="046C3066"/>
    <w:rsid w:val="047C774D"/>
    <w:rsid w:val="04812FB5"/>
    <w:rsid w:val="048F6CC6"/>
    <w:rsid w:val="04932CE9"/>
    <w:rsid w:val="04A821BA"/>
    <w:rsid w:val="04AC5B58"/>
    <w:rsid w:val="04B05649"/>
    <w:rsid w:val="04B62533"/>
    <w:rsid w:val="04BA0275"/>
    <w:rsid w:val="04D70E27"/>
    <w:rsid w:val="05017C52"/>
    <w:rsid w:val="050820EB"/>
    <w:rsid w:val="052B2F21"/>
    <w:rsid w:val="053B7608"/>
    <w:rsid w:val="05432019"/>
    <w:rsid w:val="05594EA2"/>
    <w:rsid w:val="056A1C9B"/>
    <w:rsid w:val="057A6086"/>
    <w:rsid w:val="0580501B"/>
    <w:rsid w:val="05997E8B"/>
    <w:rsid w:val="05CA273A"/>
    <w:rsid w:val="062C6F51"/>
    <w:rsid w:val="06450013"/>
    <w:rsid w:val="06514B7E"/>
    <w:rsid w:val="06514C09"/>
    <w:rsid w:val="06620BC5"/>
    <w:rsid w:val="066435D0"/>
    <w:rsid w:val="0667442D"/>
    <w:rsid w:val="06693D01"/>
    <w:rsid w:val="06B80F28"/>
    <w:rsid w:val="06D53145"/>
    <w:rsid w:val="06E72E78"/>
    <w:rsid w:val="070C28DE"/>
    <w:rsid w:val="07283BBC"/>
    <w:rsid w:val="0730192B"/>
    <w:rsid w:val="07372051"/>
    <w:rsid w:val="073C40D7"/>
    <w:rsid w:val="073D0CEA"/>
    <w:rsid w:val="0750625A"/>
    <w:rsid w:val="075524D7"/>
    <w:rsid w:val="076D32D1"/>
    <w:rsid w:val="079052BE"/>
    <w:rsid w:val="079C3C62"/>
    <w:rsid w:val="07C338E5"/>
    <w:rsid w:val="07CD206E"/>
    <w:rsid w:val="07CF4038"/>
    <w:rsid w:val="07DD49A7"/>
    <w:rsid w:val="07DE427B"/>
    <w:rsid w:val="07E727CE"/>
    <w:rsid w:val="07EA1F6A"/>
    <w:rsid w:val="07F13FAE"/>
    <w:rsid w:val="07F67816"/>
    <w:rsid w:val="080261BB"/>
    <w:rsid w:val="081B2F5F"/>
    <w:rsid w:val="082500FC"/>
    <w:rsid w:val="084A5DB4"/>
    <w:rsid w:val="084C5688"/>
    <w:rsid w:val="08564759"/>
    <w:rsid w:val="0858227F"/>
    <w:rsid w:val="08634780"/>
    <w:rsid w:val="087F5A5E"/>
    <w:rsid w:val="088210AA"/>
    <w:rsid w:val="088968DD"/>
    <w:rsid w:val="088E7A4F"/>
    <w:rsid w:val="08A234FA"/>
    <w:rsid w:val="08A74FB5"/>
    <w:rsid w:val="08AC25CB"/>
    <w:rsid w:val="08B55272"/>
    <w:rsid w:val="08CB2A51"/>
    <w:rsid w:val="08FF094D"/>
    <w:rsid w:val="0908014B"/>
    <w:rsid w:val="09104908"/>
    <w:rsid w:val="0920065A"/>
    <w:rsid w:val="09265ED9"/>
    <w:rsid w:val="093700E7"/>
    <w:rsid w:val="09410F65"/>
    <w:rsid w:val="0963712E"/>
    <w:rsid w:val="096E5D75"/>
    <w:rsid w:val="09840E52"/>
    <w:rsid w:val="09A614A0"/>
    <w:rsid w:val="09B434E5"/>
    <w:rsid w:val="09FC79EC"/>
    <w:rsid w:val="0A2166A1"/>
    <w:rsid w:val="0A430D0D"/>
    <w:rsid w:val="0A456833"/>
    <w:rsid w:val="0A4F320E"/>
    <w:rsid w:val="0A521722"/>
    <w:rsid w:val="0A5B1BB3"/>
    <w:rsid w:val="0A762E91"/>
    <w:rsid w:val="0A876E4C"/>
    <w:rsid w:val="0AAB0D8C"/>
    <w:rsid w:val="0AAC240E"/>
    <w:rsid w:val="0AAF206C"/>
    <w:rsid w:val="0AB12F85"/>
    <w:rsid w:val="0ABD0ABF"/>
    <w:rsid w:val="0AD11E75"/>
    <w:rsid w:val="0AD447D1"/>
    <w:rsid w:val="0AEA1189"/>
    <w:rsid w:val="0B0A5387"/>
    <w:rsid w:val="0B2428ED"/>
    <w:rsid w:val="0B352404"/>
    <w:rsid w:val="0B512FB6"/>
    <w:rsid w:val="0B5D7BAD"/>
    <w:rsid w:val="0B62538F"/>
    <w:rsid w:val="0B6A3512"/>
    <w:rsid w:val="0B891F50"/>
    <w:rsid w:val="0B903ADE"/>
    <w:rsid w:val="0B941820"/>
    <w:rsid w:val="0B974E6D"/>
    <w:rsid w:val="0BA13F3D"/>
    <w:rsid w:val="0BBE4AEF"/>
    <w:rsid w:val="0BDA2FAB"/>
    <w:rsid w:val="0BE34A57"/>
    <w:rsid w:val="0C0F70F9"/>
    <w:rsid w:val="0C14470F"/>
    <w:rsid w:val="0C191D25"/>
    <w:rsid w:val="0C37664F"/>
    <w:rsid w:val="0C3A618D"/>
    <w:rsid w:val="0C3E353A"/>
    <w:rsid w:val="0C434FF4"/>
    <w:rsid w:val="0C692CAD"/>
    <w:rsid w:val="0C7358DA"/>
    <w:rsid w:val="0C7B02EA"/>
    <w:rsid w:val="0C922B21"/>
    <w:rsid w:val="0C9E047D"/>
    <w:rsid w:val="0CAC0DEC"/>
    <w:rsid w:val="0CB3051F"/>
    <w:rsid w:val="0CB67574"/>
    <w:rsid w:val="0CEB1914"/>
    <w:rsid w:val="0CEC2F96"/>
    <w:rsid w:val="0D070F57"/>
    <w:rsid w:val="0D2766C4"/>
    <w:rsid w:val="0D2C5A88"/>
    <w:rsid w:val="0D2F60F5"/>
    <w:rsid w:val="0D314E4D"/>
    <w:rsid w:val="0D383254"/>
    <w:rsid w:val="0D3D1A44"/>
    <w:rsid w:val="0D49488C"/>
    <w:rsid w:val="0D4A5F0F"/>
    <w:rsid w:val="0D4B4161"/>
    <w:rsid w:val="0D4E3C51"/>
    <w:rsid w:val="0D5648B3"/>
    <w:rsid w:val="0D5D20E6"/>
    <w:rsid w:val="0D672D6B"/>
    <w:rsid w:val="0D722221"/>
    <w:rsid w:val="0D815DD4"/>
    <w:rsid w:val="0D8458C4"/>
    <w:rsid w:val="0D8C4C36"/>
    <w:rsid w:val="0D99416A"/>
    <w:rsid w:val="0D9D24E2"/>
    <w:rsid w:val="0DB5782C"/>
    <w:rsid w:val="0DC67C8B"/>
    <w:rsid w:val="0DDC74AE"/>
    <w:rsid w:val="0DED16BC"/>
    <w:rsid w:val="0DF02F5A"/>
    <w:rsid w:val="0E0535BB"/>
    <w:rsid w:val="0E074148"/>
    <w:rsid w:val="0E2C21E4"/>
    <w:rsid w:val="0E2D3866"/>
    <w:rsid w:val="0E3941BA"/>
    <w:rsid w:val="0E414613"/>
    <w:rsid w:val="0E417312"/>
    <w:rsid w:val="0E4D3F08"/>
    <w:rsid w:val="0E4F1A2E"/>
    <w:rsid w:val="0E547045"/>
    <w:rsid w:val="0E572FD9"/>
    <w:rsid w:val="0E6A4ABA"/>
    <w:rsid w:val="0E7616B1"/>
    <w:rsid w:val="0E7C112B"/>
    <w:rsid w:val="0E9438E5"/>
    <w:rsid w:val="0EAA3109"/>
    <w:rsid w:val="0EBD2E3C"/>
    <w:rsid w:val="0EC25BA0"/>
    <w:rsid w:val="0ECF0DC1"/>
    <w:rsid w:val="0F144A26"/>
    <w:rsid w:val="0F1E557C"/>
    <w:rsid w:val="0F5B4403"/>
    <w:rsid w:val="0F6E4136"/>
    <w:rsid w:val="0F7D6A6F"/>
    <w:rsid w:val="0F815BCA"/>
    <w:rsid w:val="0FA17337"/>
    <w:rsid w:val="0FAA0FBA"/>
    <w:rsid w:val="0FD61CDB"/>
    <w:rsid w:val="0FDD12BC"/>
    <w:rsid w:val="0FE34B24"/>
    <w:rsid w:val="0FF54858"/>
    <w:rsid w:val="0FF81034"/>
    <w:rsid w:val="10014FAA"/>
    <w:rsid w:val="10154B10"/>
    <w:rsid w:val="102313C5"/>
    <w:rsid w:val="103F20BF"/>
    <w:rsid w:val="1041184B"/>
    <w:rsid w:val="104F3F68"/>
    <w:rsid w:val="10611EED"/>
    <w:rsid w:val="1064458A"/>
    <w:rsid w:val="106612B1"/>
    <w:rsid w:val="10727C56"/>
    <w:rsid w:val="10736777"/>
    <w:rsid w:val="107C0AD5"/>
    <w:rsid w:val="107C2883"/>
    <w:rsid w:val="109610D4"/>
    <w:rsid w:val="109776BD"/>
    <w:rsid w:val="109F39AC"/>
    <w:rsid w:val="10BB15FD"/>
    <w:rsid w:val="10C6128D"/>
    <w:rsid w:val="10D80401"/>
    <w:rsid w:val="10FC5772"/>
    <w:rsid w:val="110C3C07"/>
    <w:rsid w:val="111451B1"/>
    <w:rsid w:val="11564532"/>
    <w:rsid w:val="11684816"/>
    <w:rsid w:val="11691059"/>
    <w:rsid w:val="116A4DD1"/>
    <w:rsid w:val="116D7CD6"/>
    <w:rsid w:val="117D4B05"/>
    <w:rsid w:val="11954F74"/>
    <w:rsid w:val="11AB78C4"/>
    <w:rsid w:val="11B85B3D"/>
    <w:rsid w:val="11BA7A3C"/>
    <w:rsid w:val="11C20769"/>
    <w:rsid w:val="11E626AA"/>
    <w:rsid w:val="122B4561"/>
    <w:rsid w:val="122D02D9"/>
    <w:rsid w:val="123C051C"/>
    <w:rsid w:val="1255782F"/>
    <w:rsid w:val="125E66E4"/>
    <w:rsid w:val="12695089"/>
    <w:rsid w:val="12704669"/>
    <w:rsid w:val="12767B2B"/>
    <w:rsid w:val="12851EC3"/>
    <w:rsid w:val="12A85BB1"/>
    <w:rsid w:val="12B66520"/>
    <w:rsid w:val="12B96010"/>
    <w:rsid w:val="12C86432"/>
    <w:rsid w:val="12D6271E"/>
    <w:rsid w:val="12DC585B"/>
    <w:rsid w:val="12E14FD7"/>
    <w:rsid w:val="13135720"/>
    <w:rsid w:val="131C4EDF"/>
    <w:rsid w:val="1349413E"/>
    <w:rsid w:val="13516249"/>
    <w:rsid w:val="137B2CA1"/>
    <w:rsid w:val="13900717"/>
    <w:rsid w:val="139A4DD4"/>
    <w:rsid w:val="13A26AA4"/>
    <w:rsid w:val="13AC7923"/>
    <w:rsid w:val="13C41889"/>
    <w:rsid w:val="13CB7DA9"/>
    <w:rsid w:val="13D44784"/>
    <w:rsid w:val="13D9039D"/>
    <w:rsid w:val="13E76BAD"/>
    <w:rsid w:val="13EE1CEA"/>
    <w:rsid w:val="13F6078F"/>
    <w:rsid w:val="13F60B9E"/>
    <w:rsid w:val="14107EB2"/>
    <w:rsid w:val="1457163D"/>
    <w:rsid w:val="14601DB2"/>
    <w:rsid w:val="1481490C"/>
    <w:rsid w:val="14AD65CB"/>
    <w:rsid w:val="14AF76CB"/>
    <w:rsid w:val="14D07641"/>
    <w:rsid w:val="14DC7D94"/>
    <w:rsid w:val="14F271DF"/>
    <w:rsid w:val="151D2886"/>
    <w:rsid w:val="152005D7"/>
    <w:rsid w:val="154F67B8"/>
    <w:rsid w:val="15755FA6"/>
    <w:rsid w:val="15A765F4"/>
    <w:rsid w:val="15AE7982"/>
    <w:rsid w:val="15D86BCE"/>
    <w:rsid w:val="15E27F5A"/>
    <w:rsid w:val="15F07F9B"/>
    <w:rsid w:val="163B59D5"/>
    <w:rsid w:val="164756E1"/>
    <w:rsid w:val="16AA1AC9"/>
    <w:rsid w:val="16AB2114"/>
    <w:rsid w:val="16B8213B"/>
    <w:rsid w:val="16F94C2D"/>
    <w:rsid w:val="16F969DB"/>
    <w:rsid w:val="17081314"/>
    <w:rsid w:val="1711641B"/>
    <w:rsid w:val="171E4694"/>
    <w:rsid w:val="17215F32"/>
    <w:rsid w:val="172D0894"/>
    <w:rsid w:val="17345C65"/>
    <w:rsid w:val="17355807"/>
    <w:rsid w:val="173739A8"/>
    <w:rsid w:val="17377504"/>
    <w:rsid w:val="173E0892"/>
    <w:rsid w:val="17454C73"/>
    <w:rsid w:val="174560C4"/>
    <w:rsid w:val="174762AE"/>
    <w:rsid w:val="17647DFE"/>
    <w:rsid w:val="17680A1E"/>
    <w:rsid w:val="176D2CE6"/>
    <w:rsid w:val="17740758"/>
    <w:rsid w:val="179E3A27"/>
    <w:rsid w:val="17A50C08"/>
    <w:rsid w:val="17B62978"/>
    <w:rsid w:val="17C52D61"/>
    <w:rsid w:val="17D80CE7"/>
    <w:rsid w:val="17DB4333"/>
    <w:rsid w:val="17DE3E23"/>
    <w:rsid w:val="17DF23C2"/>
    <w:rsid w:val="17E4768B"/>
    <w:rsid w:val="17E92EF4"/>
    <w:rsid w:val="18697B91"/>
    <w:rsid w:val="187F5606"/>
    <w:rsid w:val="188B7B07"/>
    <w:rsid w:val="189664AC"/>
    <w:rsid w:val="18A16F02"/>
    <w:rsid w:val="18BD7EDC"/>
    <w:rsid w:val="18D56FD4"/>
    <w:rsid w:val="18F02060"/>
    <w:rsid w:val="18F97167"/>
    <w:rsid w:val="18FC46C6"/>
    <w:rsid w:val="19121FD6"/>
    <w:rsid w:val="191A0E95"/>
    <w:rsid w:val="191A70DD"/>
    <w:rsid w:val="191F64A1"/>
    <w:rsid w:val="19212219"/>
    <w:rsid w:val="193E2760"/>
    <w:rsid w:val="19516FA3"/>
    <w:rsid w:val="197467ED"/>
    <w:rsid w:val="197902A7"/>
    <w:rsid w:val="1982563E"/>
    <w:rsid w:val="19835FF4"/>
    <w:rsid w:val="19923117"/>
    <w:rsid w:val="19A05834"/>
    <w:rsid w:val="19C37774"/>
    <w:rsid w:val="19D84FCE"/>
    <w:rsid w:val="19EA6AAF"/>
    <w:rsid w:val="19F66763"/>
    <w:rsid w:val="1A197394"/>
    <w:rsid w:val="1A584361"/>
    <w:rsid w:val="1A5A1E87"/>
    <w:rsid w:val="1A5E7EF8"/>
    <w:rsid w:val="1AB3668B"/>
    <w:rsid w:val="1AD27C6F"/>
    <w:rsid w:val="1AE654C9"/>
    <w:rsid w:val="1AF220BF"/>
    <w:rsid w:val="1AF80C4E"/>
    <w:rsid w:val="1B065B6B"/>
    <w:rsid w:val="1B2912F6"/>
    <w:rsid w:val="1B634D6B"/>
    <w:rsid w:val="1B636B19"/>
    <w:rsid w:val="1B8F790E"/>
    <w:rsid w:val="1BA21511"/>
    <w:rsid w:val="1BAC514D"/>
    <w:rsid w:val="1BB13D28"/>
    <w:rsid w:val="1BB47375"/>
    <w:rsid w:val="1BB94A29"/>
    <w:rsid w:val="1BBE1FA1"/>
    <w:rsid w:val="1BEC2FB3"/>
    <w:rsid w:val="1BFC2ACA"/>
    <w:rsid w:val="1C077DEC"/>
    <w:rsid w:val="1C273FEB"/>
    <w:rsid w:val="1C590F97"/>
    <w:rsid w:val="1C9A2A0F"/>
    <w:rsid w:val="1CA67605"/>
    <w:rsid w:val="1CAC2742"/>
    <w:rsid w:val="1CE170EC"/>
    <w:rsid w:val="1CE7377A"/>
    <w:rsid w:val="1CE83979"/>
    <w:rsid w:val="1CF71C0F"/>
    <w:rsid w:val="1CFF6D16"/>
    <w:rsid w:val="1D17405F"/>
    <w:rsid w:val="1D216848"/>
    <w:rsid w:val="1D2B18B9"/>
    <w:rsid w:val="1D2E13A9"/>
    <w:rsid w:val="1D4753E4"/>
    <w:rsid w:val="1D547061"/>
    <w:rsid w:val="1D61177E"/>
    <w:rsid w:val="1D626E38"/>
    <w:rsid w:val="1D632E00"/>
    <w:rsid w:val="1D74500E"/>
    <w:rsid w:val="1D756FD8"/>
    <w:rsid w:val="1D7B2840"/>
    <w:rsid w:val="1D81772B"/>
    <w:rsid w:val="1D9E652E"/>
    <w:rsid w:val="1DA4768C"/>
    <w:rsid w:val="1DA90A2F"/>
    <w:rsid w:val="1DB418AE"/>
    <w:rsid w:val="1DBF0627"/>
    <w:rsid w:val="1DC064A5"/>
    <w:rsid w:val="1DC31AF1"/>
    <w:rsid w:val="1DCA7323"/>
    <w:rsid w:val="1DD957B9"/>
    <w:rsid w:val="1DE008F5"/>
    <w:rsid w:val="1DF95513"/>
    <w:rsid w:val="1E167925"/>
    <w:rsid w:val="1E1D40E9"/>
    <w:rsid w:val="1E3E6490"/>
    <w:rsid w:val="1E594203"/>
    <w:rsid w:val="1E6432D4"/>
    <w:rsid w:val="1E65704C"/>
    <w:rsid w:val="1E761259"/>
    <w:rsid w:val="1E764DB5"/>
    <w:rsid w:val="1E8C45D9"/>
    <w:rsid w:val="1E935967"/>
    <w:rsid w:val="1E984D2C"/>
    <w:rsid w:val="1EA062D6"/>
    <w:rsid w:val="1EC75F1B"/>
    <w:rsid w:val="1EE47F71"/>
    <w:rsid w:val="1EF328AA"/>
    <w:rsid w:val="1F1C595D"/>
    <w:rsid w:val="1F334A54"/>
    <w:rsid w:val="1F370D5E"/>
    <w:rsid w:val="1F3C5FFF"/>
    <w:rsid w:val="1F494278"/>
    <w:rsid w:val="1F5F1222"/>
    <w:rsid w:val="1F642E60"/>
    <w:rsid w:val="1F7F63E0"/>
    <w:rsid w:val="1F8D685B"/>
    <w:rsid w:val="1F995ABC"/>
    <w:rsid w:val="1FAA0B21"/>
    <w:rsid w:val="1FBB33C8"/>
    <w:rsid w:val="1FC075B8"/>
    <w:rsid w:val="1FED10A7"/>
    <w:rsid w:val="1FEF3071"/>
    <w:rsid w:val="200D799B"/>
    <w:rsid w:val="20270A5D"/>
    <w:rsid w:val="2072413B"/>
    <w:rsid w:val="2080016D"/>
    <w:rsid w:val="209B0B03"/>
    <w:rsid w:val="20A420AE"/>
    <w:rsid w:val="20B120D5"/>
    <w:rsid w:val="20B147CB"/>
    <w:rsid w:val="20B46606"/>
    <w:rsid w:val="20BF0C96"/>
    <w:rsid w:val="20C4005A"/>
    <w:rsid w:val="20C53DD2"/>
    <w:rsid w:val="20D438A4"/>
    <w:rsid w:val="20E424AA"/>
    <w:rsid w:val="20F326ED"/>
    <w:rsid w:val="20F841A8"/>
    <w:rsid w:val="2110276D"/>
    <w:rsid w:val="21110DC5"/>
    <w:rsid w:val="212B00D9"/>
    <w:rsid w:val="212C3E51"/>
    <w:rsid w:val="215F5FD5"/>
    <w:rsid w:val="21601448"/>
    <w:rsid w:val="216830DB"/>
    <w:rsid w:val="2170027F"/>
    <w:rsid w:val="218D0D4A"/>
    <w:rsid w:val="21B85132"/>
    <w:rsid w:val="21C2005C"/>
    <w:rsid w:val="21C519A5"/>
    <w:rsid w:val="21C66054"/>
    <w:rsid w:val="21E32762"/>
    <w:rsid w:val="21E40288"/>
    <w:rsid w:val="21F42BC1"/>
    <w:rsid w:val="220A23E4"/>
    <w:rsid w:val="221C196E"/>
    <w:rsid w:val="221C5C74"/>
    <w:rsid w:val="22405E06"/>
    <w:rsid w:val="2245099C"/>
    <w:rsid w:val="22521696"/>
    <w:rsid w:val="226F0499"/>
    <w:rsid w:val="229C0B63"/>
    <w:rsid w:val="22B91715"/>
    <w:rsid w:val="22C2681B"/>
    <w:rsid w:val="22CA3922"/>
    <w:rsid w:val="22CF0F38"/>
    <w:rsid w:val="22D12F02"/>
    <w:rsid w:val="22F46581"/>
    <w:rsid w:val="22F95FB5"/>
    <w:rsid w:val="23196297"/>
    <w:rsid w:val="231B5684"/>
    <w:rsid w:val="23353491"/>
    <w:rsid w:val="235356C5"/>
    <w:rsid w:val="23571659"/>
    <w:rsid w:val="2359709D"/>
    <w:rsid w:val="23607DE2"/>
    <w:rsid w:val="237044C9"/>
    <w:rsid w:val="23737B15"/>
    <w:rsid w:val="237827E2"/>
    <w:rsid w:val="237F66DF"/>
    <w:rsid w:val="238B47C5"/>
    <w:rsid w:val="23A128D5"/>
    <w:rsid w:val="23C86AE4"/>
    <w:rsid w:val="23CD36CA"/>
    <w:rsid w:val="23E30AF0"/>
    <w:rsid w:val="23ED3D6C"/>
    <w:rsid w:val="24107A5A"/>
    <w:rsid w:val="2412732E"/>
    <w:rsid w:val="24150BCD"/>
    <w:rsid w:val="245060A9"/>
    <w:rsid w:val="246F652F"/>
    <w:rsid w:val="247C0C4C"/>
    <w:rsid w:val="248F4E23"/>
    <w:rsid w:val="249064A5"/>
    <w:rsid w:val="2492221D"/>
    <w:rsid w:val="249951F0"/>
    <w:rsid w:val="24B959FC"/>
    <w:rsid w:val="24BE1264"/>
    <w:rsid w:val="24CF3471"/>
    <w:rsid w:val="24DB5972"/>
    <w:rsid w:val="24F02EB5"/>
    <w:rsid w:val="24F15196"/>
    <w:rsid w:val="24F46A34"/>
    <w:rsid w:val="24FD4E0F"/>
    <w:rsid w:val="251A0B90"/>
    <w:rsid w:val="252E1F46"/>
    <w:rsid w:val="253E5283"/>
    <w:rsid w:val="25423C43"/>
    <w:rsid w:val="25587DE6"/>
    <w:rsid w:val="255B2F57"/>
    <w:rsid w:val="256A5A1C"/>
    <w:rsid w:val="25873D4C"/>
    <w:rsid w:val="259F1096"/>
    <w:rsid w:val="259F2E44"/>
    <w:rsid w:val="25AB17E9"/>
    <w:rsid w:val="25B022D9"/>
    <w:rsid w:val="25C603D0"/>
    <w:rsid w:val="25C66622"/>
    <w:rsid w:val="25CC175F"/>
    <w:rsid w:val="25D32AED"/>
    <w:rsid w:val="25DA0320"/>
    <w:rsid w:val="25EE447D"/>
    <w:rsid w:val="25F52A64"/>
    <w:rsid w:val="262F241A"/>
    <w:rsid w:val="263A0DBE"/>
    <w:rsid w:val="264B6B28"/>
    <w:rsid w:val="264E03C6"/>
    <w:rsid w:val="26591245"/>
    <w:rsid w:val="267918E7"/>
    <w:rsid w:val="267B238A"/>
    <w:rsid w:val="268362C1"/>
    <w:rsid w:val="26CD39E1"/>
    <w:rsid w:val="26D66D39"/>
    <w:rsid w:val="26E8081A"/>
    <w:rsid w:val="26EA27E4"/>
    <w:rsid w:val="26EA45AD"/>
    <w:rsid w:val="27035654"/>
    <w:rsid w:val="270C275B"/>
    <w:rsid w:val="27112A1A"/>
    <w:rsid w:val="27127645"/>
    <w:rsid w:val="27127F91"/>
    <w:rsid w:val="27231852"/>
    <w:rsid w:val="27271343"/>
    <w:rsid w:val="27280C17"/>
    <w:rsid w:val="2730304F"/>
    <w:rsid w:val="2743242F"/>
    <w:rsid w:val="274F0899"/>
    <w:rsid w:val="275E288B"/>
    <w:rsid w:val="276C31F9"/>
    <w:rsid w:val="276E09E1"/>
    <w:rsid w:val="27736336"/>
    <w:rsid w:val="277F4CDB"/>
    <w:rsid w:val="27871DE1"/>
    <w:rsid w:val="27952750"/>
    <w:rsid w:val="27A74232"/>
    <w:rsid w:val="27DA0163"/>
    <w:rsid w:val="27EC6AA9"/>
    <w:rsid w:val="28071F29"/>
    <w:rsid w:val="2818512F"/>
    <w:rsid w:val="2835183D"/>
    <w:rsid w:val="283A50A6"/>
    <w:rsid w:val="283F090E"/>
    <w:rsid w:val="285717B4"/>
    <w:rsid w:val="2868457E"/>
    <w:rsid w:val="28697739"/>
    <w:rsid w:val="28757E8C"/>
    <w:rsid w:val="288D78CB"/>
    <w:rsid w:val="28956780"/>
    <w:rsid w:val="28BC5453"/>
    <w:rsid w:val="28D177B8"/>
    <w:rsid w:val="28EA2628"/>
    <w:rsid w:val="28F433B8"/>
    <w:rsid w:val="29051210"/>
    <w:rsid w:val="2907142C"/>
    <w:rsid w:val="29086F52"/>
    <w:rsid w:val="2927387C"/>
    <w:rsid w:val="29283150"/>
    <w:rsid w:val="29472309"/>
    <w:rsid w:val="2959155B"/>
    <w:rsid w:val="297A100D"/>
    <w:rsid w:val="297E0FC2"/>
    <w:rsid w:val="298E38FB"/>
    <w:rsid w:val="299A404E"/>
    <w:rsid w:val="29B11398"/>
    <w:rsid w:val="29B64C00"/>
    <w:rsid w:val="29C9048F"/>
    <w:rsid w:val="29D46E34"/>
    <w:rsid w:val="29E47154"/>
    <w:rsid w:val="29F51284"/>
    <w:rsid w:val="2A094D30"/>
    <w:rsid w:val="2A385615"/>
    <w:rsid w:val="2A4669E3"/>
    <w:rsid w:val="2A4C2E6E"/>
    <w:rsid w:val="2A4C31DA"/>
    <w:rsid w:val="2AA809EC"/>
    <w:rsid w:val="2AAF1D7B"/>
    <w:rsid w:val="2ABF5FBF"/>
    <w:rsid w:val="2AEF03C9"/>
    <w:rsid w:val="2AF43C32"/>
    <w:rsid w:val="2AF4778E"/>
    <w:rsid w:val="2AF552B4"/>
    <w:rsid w:val="2AF92FF6"/>
    <w:rsid w:val="2B2C33CC"/>
    <w:rsid w:val="2B3E2909"/>
    <w:rsid w:val="2B492F35"/>
    <w:rsid w:val="2B7B1C5D"/>
    <w:rsid w:val="2B843DBD"/>
    <w:rsid w:val="2B876854"/>
    <w:rsid w:val="2B886128"/>
    <w:rsid w:val="2B9B22FF"/>
    <w:rsid w:val="2BA016C4"/>
    <w:rsid w:val="2BBA09D7"/>
    <w:rsid w:val="2BBD04C8"/>
    <w:rsid w:val="2BC96303"/>
    <w:rsid w:val="2BD169E7"/>
    <w:rsid w:val="2BDB26FC"/>
    <w:rsid w:val="2BE47802"/>
    <w:rsid w:val="2BEF61A7"/>
    <w:rsid w:val="2BFF463C"/>
    <w:rsid w:val="2C0D1C39"/>
    <w:rsid w:val="2C0E487F"/>
    <w:rsid w:val="2C106849"/>
    <w:rsid w:val="2C1520B2"/>
    <w:rsid w:val="2C1B6F9C"/>
    <w:rsid w:val="2C210A56"/>
    <w:rsid w:val="2C3818FC"/>
    <w:rsid w:val="2C3F712F"/>
    <w:rsid w:val="2C4B5AD3"/>
    <w:rsid w:val="2C581F9E"/>
    <w:rsid w:val="2C5F332D"/>
    <w:rsid w:val="2C654B23"/>
    <w:rsid w:val="2C6721C0"/>
    <w:rsid w:val="2C6D3C9C"/>
    <w:rsid w:val="2C7212B2"/>
    <w:rsid w:val="2C78619D"/>
    <w:rsid w:val="2C90798A"/>
    <w:rsid w:val="2CDA0C05"/>
    <w:rsid w:val="2CDC2BCF"/>
    <w:rsid w:val="2CED26E7"/>
    <w:rsid w:val="2CF0667B"/>
    <w:rsid w:val="2CF20C15"/>
    <w:rsid w:val="2CF63C91"/>
    <w:rsid w:val="2CF9552F"/>
    <w:rsid w:val="2CF972DD"/>
    <w:rsid w:val="2D0143E4"/>
    <w:rsid w:val="2D067C4C"/>
    <w:rsid w:val="2D306A77"/>
    <w:rsid w:val="2D4B38B1"/>
    <w:rsid w:val="2D614E83"/>
    <w:rsid w:val="2D720E3E"/>
    <w:rsid w:val="2D750555"/>
    <w:rsid w:val="2D80355B"/>
    <w:rsid w:val="2D945258"/>
    <w:rsid w:val="2DA03BFD"/>
    <w:rsid w:val="2DAC4350"/>
    <w:rsid w:val="2DB17BB8"/>
    <w:rsid w:val="2DB96A6D"/>
    <w:rsid w:val="2DCC67A0"/>
    <w:rsid w:val="2DCD3188"/>
    <w:rsid w:val="2DDB69E3"/>
    <w:rsid w:val="2DF45CF7"/>
    <w:rsid w:val="2DF47AA5"/>
    <w:rsid w:val="2DF857E7"/>
    <w:rsid w:val="2DFD4BAB"/>
    <w:rsid w:val="2E19750B"/>
    <w:rsid w:val="2E220AB6"/>
    <w:rsid w:val="2E24482E"/>
    <w:rsid w:val="2E422F06"/>
    <w:rsid w:val="2E496043"/>
    <w:rsid w:val="2E6816D7"/>
    <w:rsid w:val="2E894691"/>
    <w:rsid w:val="2E8E36DA"/>
    <w:rsid w:val="2EA15E7F"/>
    <w:rsid w:val="2EB37960"/>
    <w:rsid w:val="2EC965DF"/>
    <w:rsid w:val="2EE7237C"/>
    <w:rsid w:val="2EE93382"/>
    <w:rsid w:val="2EED10C4"/>
    <w:rsid w:val="2EFD0590"/>
    <w:rsid w:val="2F087973"/>
    <w:rsid w:val="2F1321AD"/>
    <w:rsid w:val="2F195A15"/>
    <w:rsid w:val="2F212704"/>
    <w:rsid w:val="2F283EAA"/>
    <w:rsid w:val="2F395842"/>
    <w:rsid w:val="2F6C023B"/>
    <w:rsid w:val="2F9C21A2"/>
    <w:rsid w:val="2FA3467F"/>
    <w:rsid w:val="2FAA48BF"/>
    <w:rsid w:val="2FD02046"/>
    <w:rsid w:val="2FDC3EC3"/>
    <w:rsid w:val="2FFC44A6"/>
    <w:rsid w:val="3002294D"/>
    <w:rsid w:val="301D32E3"/>
    <w:rsid w:val="302F3B93"/>
    <w:rsid w:val="304765B2"/>
    <w:rsid w:val="305B205D"/>
    <w:rsid w:val="305D4027"/>
    <w:rsid w:val="306727B0"/>
    <w:rsid w:val="30673775"/>
    <w:rsid w:val="306E1D90"/>
    <w:rsid w:val="306E7FE2"/>
    <w:rsid w:val="30760C45"/>
    <w:rsid w:val="30850E88"/>
    <w:rsid w:val="308C66BA"/>
    <w:rsid w:val="30901D07"/>
    <w:rsid w:val="30C860C4"/>
    <w:rsid w:val="30CC4D09"/>
    <w:rsid w:val="30D7135A"/>
    <w:rsid w:val="30DA11D4"/>
    <w:rsid w:val="30EF31D8"/>
    <w:rsid w:val="30FF6E8C"/>
    <w:rsid w:val="31093867"/>
    <w:rsid w:val="310D3357"/>
    <w:rsid w:val="31271F3F"/>
    <w:rsid w:val="312B1A2F"/>
    <w:rsid w:val="31322DBE"/>
    <w:rsid w:val="31435B14"/>
    <w:rsid w:val="31554CFE"/>
    <w:rsid w:val="315A0F54"/>
    <w:rsid w:val="31723B02"/>
    <w:rsid w:val="317C777C"/>
    <w:rsid w:val="318905E6"/>
    <w:rsid w:val="31AA504A"/>
    <w:rsid w:val="31CB6D6E"/>
    <w:rsid w:val="31CD6F8B"/>
    <w:rsid w:val="31E16592"/>
    <w:rsid w:val="31E3055C"/>
    <w:rsid w:val="31EE13DB"/>
    <w:rsid w:val="32026C34"/>
    <w:rsid w:val="32087FC3"/>
    <w:rsid w:val="320B24E8"/>
    <w:rsid w:val="32236BAB"/>
    <w:rsid w:val="32317519"/>
    <w:rsid w:val="32430FFB"/>
    <w:rsid w:val="32432DA9"/>
    <w:rsid w:val="324A4137"/>
    <w:rsid w:val="325D3E6B"/>
    <w:rsid w:val="3267118D"/>
    <w:rsid w:val="32676A97"/>
    <w:rsid w:val="327D7571"/>
    <w:rsid w:val="32870EE7"/>
    <w:rsid w:val="32877139"/>
    <w:rsid w:val="3291620A"/>
    <w:rsid w:val="32A05BEE"/>
    <w:rsid w:val="32F10A57"/>
    <w:rsid w:val="32F347CF"/>
    <w:rsid w:val="33016B27"/>
    <w:rsid w:val="33060643"/>
    <w:rsid w:val="33095DA0"/>
    <w:rsid w:val="330F10BA"/>
    <w:rsid w:val="33184235"/>
    <w:rsid w:val="336456CD"/>
    <w:rsid w:val="336E3E55"/>
    <w:rsid w:val="33884F17"/>
    <w:rsid w:val="339B6F44"/>
    <w:rsid w:val="33A04957"/>
    <w:rsid w:val="33A45AC9"/>
    <w:rsid w:val="33CD6DCE"/>
    <w:rsid w:val="34052A0C"/>
    <w:rsid w:val="34313801"/>
    <w:rsid w:val="34482B7E"/>
    <w:rsid w:val="34727975"/>
    <w:rsid w:val="347507BC"/>
    <w:rsid w:val="348778C5"/>
    <w:rsid w:val="34894B8C"/>
    <w:rsid w:val="34A42225"/>
    <w:rsid w:val="34B61F58"/>
    <w:rsid w:val="34C93A39"/>
    <w:rsid w:val="34D36666"/>
    <w:rsid w:val="34E66BA3"/>
    <w:rsid w:val="34F52A80"/>
    <w:rsid w:val="35177D3B"/>
    <w:rsid w:val="3524043D"/>
    <w:rsid w:val="352C502F"/>
    <w:rsid w:val="35402D61"/>
    <w:rsid w:val="35505F08"/>
    <w:rsid w:val="35527ED3"/>
    <w:rsid w:val="35885C2E"/>
    <w:rsid w:val="358E07DF"/>
    <w:rsid w:val="35904557"/>
    <w:rsid w:val="3599165E"/>
    <w:rsid w:val="35A328F5"/>
    <w:rsid w:val="35A41DB0"/>
    <w:rsid w:val="35A61FCC"/>
    <w:rsid w:val="35BA7826"/>
    <w:rsid w:val="35BC70FA"/>
    <w:rsid w:val="35BE10C4"/>
    <w:rsid w:val="35DA3A24"/>
    <w:rsid w:val="35E82DFD"/>
    <w:rsid w:val="35FD29D6"/>
    <w:rsid w:val="36064403"/>
    <w:rsid w:val="360B0081"/>
    <w:rsid w:val="36163333"/>
    <w:rsid w:val="3628478F"/>
    <w:rsid w:val="362F1FC2"/>
    <w:rsid w:val="36462E68"/>
    <w:rsid w:val="366848E2"/>
    <w:rsid w:val="366B28CE"/>
    <w:rsid w:val="3680281D"/>
    <w:rsid w:val="36826596"/>
    <w:rsid w:val="36935DFC"/>
    <w:rsid w:val="36A463B6"/>
    <w:rsid w:val="36AC716F"/>
    <w:rsid w:val="36BD137C"/>
    <w:rsid w:val="36C00E6C"/>
    <w:rsid w:val="36C344B8"/>
    <w:rsid w:val="36CF6BDB"/>
    <w:rsid w:val="36E83F1F"/>
    <w:rsid w:val="37180CA8"/>
    <w:rsid w:val="37263F37"/>
    <w:rsid w:val="373B04F2"/>
    <w:rsid w:val="373F4487"/>
    <w:rsid w:val="37476E97"/>
    <w:rsid w:val="37585548"/>
    <w:rsid w:val="375A6BCB"/>
    <w:rsid w:val="377C4E9C"/>
    <w:rsid w:val="377D6D5D"/>
    <w:rsid w:val="377E4FAF"/>
    <w:rsid w:val="37817EA5"/>
    <w:rsid w:val="37B179ED"/>
    <w:rsid w:val="37B50DAA"/>
    <w:rsid w:val="37C60704"/>
    <w:rsid w:val="37D921E5"/>
    <w:rsid w:val="37EF5EA7"/>
    <w:rsid w:val="37FF7772"/>
    <w:rsid w:val="3801173C"/>
    <w:rsid w:val="38060B00"/>
    <w:rsid w:val="38102041"/>
    <w:rsid w:val="381C6576"/>
    <w:rsid w:val="382A2A41"/>
    <w:rsid w:val="38455ACD"/>
    <w:rsid w:val="384653A1"/>
    <w:rsid w:val="385C6972"/>
    <w:rsid w:val="38795776"/>
    <w:rsid w:val="389C3213"/>
    <w:rsid w:val="389F029D"/>
    <w:rsid w:val="38A30A45"/>
    <w:rsid w:val="38B92017"/>
    <w:rsid w:val="38D10C28"/>
    <w:rsid w:val="38E075A3"/>
    <w:rsid w:val="38E47094"/>
    <w:rsid w:val="38E56968"/>
    <w:rsid w:val="38FF7584"/>
    <w:rsid w:val="39311E60"/>
    <w:rsid w:val="39355B41"/>
    <w:rsid w:val="3949339B"/>
    <w:rsid w:val="39494261"/>
    <w:rsid w:val="39736669"/>
    <w:rsid w:val="397D1319"/>
    <w:rsid w:val="39900FC9"/>
    <w:rsid w:val="399272E0"/>
    <w:rsid w:val="39965EB4"/>
    <w:rsid w:val="39C360D5"/>
    <w:rsid w:val="39D76BF8"/>
    <w:rsid w:val="39E11825"/>
    <w:rsid w:val="39E14C9C"/>
    <w:rsid w:val="39E60BE9"/>
    <w:rsid w:val="39EC3D26"/>
    <w:rsid w:val="39ED01CA"/>
    <w:rsid w:val="39F8091D"/>
    <w:rsid w:val="39FA6443"/>
    <w:rsid w:val="39FF3A59"/>
    <w:rsid w:val="3A0B68A2"/>
    <w:rsid w:val="3A211C22"/>
    <w:rsid w:val="3A263E21"/>
    <w:rsid w:val="3A3C6A5B"/>
    <w:rsid w:val="3A577D39"/>
    <w:rsid w:val="3A6D4E67"/>
    <w:rsid w:val="3A7601BF"/>
    <w:rsid w:val="3A79380C"/>
    <w:rsid w:val="3A816B64"/>
    <w:rsid w:val="3A9977B5"/>
    <w:rsid w:val="3A9B19D4"/>
    <w:rsid w:val="3AA12D62"/>
    <w:rsid w:val="3AA52853"/>
    <w:rsid w:val="3AA840F1"/>
    <w:rsid w:val="3AC058DE"/>
    <w:rsid w:val="3AF00BC7"/>
    <w:rsid w:val="3AF45588"/>
    <w:rsid w:val="3B021CBF"/>
    <w:rsid w:val="3B0577D9"/>
    <w:rsid w:val="3B070E17"/>
    <w:rsid w:val="3B086638"/>
    <w:rsid w:val="3B0C4680"/>
    <w:rsid w:val="3B251BE5"/>
    <w:rsid w:val="3B293484"/>
    <w:rsid w:val="3B2E0A9A"/>
    <w:rsid w:val="3B3140E6"/>
    <w:rsid w:val="3B356A46"/>
    <w:rsid w:val="3B3B6D13"/>
    <w:rsid w:val="3B547DD5"/>
    <w:rsid w:val="3B712735"/>
    <w:rsid w:val="3B776F92"/>
    <w:rsid w:val="3B7D732B"/>
    <w:rsid w:val="3B8763FC"/>
    <w:rsid w:val="3BBA0580"/>
    <w:rsid w:val="3BBA40DC"/>
    <w:rsid w:val="3BC44F5A"/>
    <w:rsid w:val="3BC857A7"/>
    <w:rsid w:val="3BEA72AB"/>
    <w:rsid w:val="3BEE647B"/>
    <w:rsid w:val="3BF750E1"/>
    <w:rsid w:val="3C045180"/>
    <w:rsid w:val="3C0B0DDB"/>
    <w:rsid w:val="3C0D06AF"/>
    <w:rsid w:val="3C0F10E7"/>
    <w:rsid w:val="3C113CD2"/>
    <w:rsid w:val="3C213BAF"/>
    <w:rsid w:val="3C241E9D"/>
    <w:rsid w:val="3C243C4B"/>
    <w:rsid w:val="3C291261"/>
    <w:rsid w:val="3C415549"/>
    <w:rsid w:val="3C46341B"/>
    <w:rsid w:val="3C5E715D"/>
    <w:rsid w:val="3C6329C5"/>
    <w:rsid w:val="3C63679D"/>
    <w:rsid w:val="3C65673D"/>
    <w:rsid w:val="3C756255"/>
    <w:rsid w:val="3C8067D3"/>
    <w:rsid w:val="3C812E4B"/>
    <w:rsid w:val="3C9C72D2"/>
    <w:rsid w:val="3CA32DC2"/>
    <w:rsid w:val="3CA408E8"/>
    <w:rsid w:val="3CA628B2"/>
    <w:rsid w:val="3CAD1E92"/>
    <w:rsid w:val="3CB60D47"/>
    <w:rsid w:val="3CB9475D"/>
    <w:rsid w:val="3CBB635D"/>
    <w:rsid w:val="3CC01321"/>
    <w:rsid w:val="3CCA034E"/>
    <w:rsid w:val="3CCB2319"/>
    <w:rsid w:val="3CCD42E3"/>
    <w:rsid w:val="3CD576CF"/>
    <w:rsid w:val="3CF15F21"/>
    <w:rsid w:val="3CFE26EE"/>
    <w:rsid w:val="3D042E64"/>
    <w:rsid w:val="3D0F48FB"/>
    <w:rsid w:val="3D1C2D95"/>
    <w:rsid w:val="3D255ECD"/>
    <w:rsid w:val="3D2F28A7"/>
    <w:rsid w:val="3D3103CE"/>
    <w:rsid w:val="3D3659E4"/>
    <w:rsid w:val="3D3E0D3C"/>
    <w:rsid w:val="3D474095"/>
    <w:rsid w:val="3D4F2F4A"/>
    <w:rsid w:val="3D5567B2"/>
    <w:rsid w:val="3D597924"/>
    <w:rsid w:val="3D74475E"/>
    <w:rsid w:val="3D8F3346"/>
    <w:rsid w:val="3D934BE4"/>
    <w:rsid w:val="3DD5344F"/>
    <w:rsid w:val="3DE26767"/>
    <w:rsid w:val="3DE6740A"/>
    <w:rsid w:val="3DE90CA8"/>
    <w:rsid w:val="3DF17B5D"/>
    <w:rsid w:val="3DF31B27"/>
    <w:rsid w:val="3E0755D2"/>
    <w:rsid w:val="3E133F77"/>
    <w:rsid w:val="3E157CEF"/>
    <w:rsid w:val="3E300685"/>
    <w:rsid w:val="3E304B29"/>
    <w:rsid w:val="3E3D0FF4"/>
    <w:rsid w:val="3E4203B8"/>
    <w:rsid w:val="3E444130"/>
    <w:rsid w:val="3E4B3711"/>
    <w:rsid w:val="3E836EC6"/>
    <w:rsid w:val="3E8A248B"/>
    <w:rsid w:val="3EB42DC3"/>
    <w:rsid w:val="3EC15781"/>
    <w:rsid w:val="3EFC08C3"/>
    <w:rsid w:val="3F034DFE"/>
    <w:rsid w:val="3F1E2BD3"/>
    <w:rsid w:val="3F23468E"/>
    <w:rsid w:val="3F400D9C"/>
    <w:rsid w:val="3F4031DE"/>
    <w:rsid w:val="3F564FB3"/>
    <w:rsid w:val="3F571B2E"/>
    <w:rsid w:val="3F5C5D42"/>
    <w:rsid w:val="3F6F78D3"/>
    <w:rsid w:val="3F7B1DD4"/>
    <w:rsid w:val="3FA4757D"/>
    <w:rsid w:val="3FA56E51"/>
    <w:rsid w:val="3FAA61C3"/>
    <w:rsid w:val="3FC9475C"/>
    <w:rsid w:val="40073668"/>
    <w:rsid w:val="400B43A0"/>
    <w:rsid w:val="400B56FF"/>
    <w:rsid w:val="40130ECF"/>
    <w:rsid w:val="40204729"/>
    <w:rsid w:val="404843AC"/>
    <w:rsid w:val="40491ED2"/>
    <w:rsid w:val="404C3770"/>
    <w:rsid w:val="40970E8F"/>
    <w:rsid w:val="409F7D44"/>
    <w:rsid w:val="40B530C4"/>
    <w:rsid w:val="40BA692C"/>
    <w:rsid w:val="40BF7538"/>
    <w:rsid w:val="40CA3013"/>
    <w:rsid w:val="40CB28E7"/>
    <w:rsid w:val="40E63BC5"/>
    <w:rsid w:val="40F16EF6"/>
    <w:rsid w:val="40F938F8"/>
    <w:rsid w:val="41004C87"/>
    <w:rsid w:val="411029F0"/>
    <w:rsid w:val="411E6EBB"/>
    <w:rsid w:val="412344D1"/>
    <w:rsid w:val="41401527"/>
    <w:rsid w:val="41654AEA"/>
    <w:rsid w:val="41884D9B"/>
    <w:rsid w:val="41B617E9"/>
    <w:rsid w:val="41BC0EC2"/>
    <w:rsid w:val="41C061C4"/>
    <w:rsid w:val="41CA0DF1"/>
    <w:rsid w:val="41DD0B24"/>
    <w:rsid w:val="41E06866"/>
    <w:rsid w:val="41E41EB2"/>
    <w:rsid w:val="41EA19F2"/>
    <w:rsid w:val="41F45E6E"/>
    <w:rsid w:val="41F67E38"/>
    <w:rsid w:val="41F8770C"/>
    <w:rsid w:val="42042555"/>
    <w:rsid w:val="420460B1"/>
    <w:rsid w:val="42162288"/>
    <w:rsid w:val="421A3B26"/>
    <w:rsid w:val="421C3E6F"/>
    <w:rsid w:val="423F358D"/>
    <w:rsid w:val="42472441"/>
    <w:rsid w:val="425A02DC"/>
    <w:rsid w:val="429531AD"/>
    <w:rsid w:val="42AB29D0"/>
    <w:rsid w:val="42B23D5F"/>
    <w:rsid w:val="42BC4BDD"/>
    <w:rsid w:val="42C43A92"/>
    <w:rsid w:val="42CB3072"/>
    <w:rsid w:val="42ED2FE9"/>
    <w:rsid w:val="42F00D2B"/>
    <w:rsid w:val="42F26851"/>
    <w:rsid w:val="430A1DED"/>
    <w:rsid w:val="432224F9"/>
    <w:rsid w:val="432F1853"/>
    <w:rsid w:val="43430E5B"/>
    <w:rsid w:val="43560B8E"/>
    <w:rsid w:val="4359067E"/>
    <w:rsid w:val="43650DD1"/>
    <w:rsid w:val="436C7DE2"/>
    <w:rsid w:val="437D25BE"/>
    <w:rsid w:val="43975AC0"/>
    <w:rsid w:val="439E2535"/>
    <w:rsid w:val="43AA712C"/>
    <w:rsid w:val="43B73FD6"/>
    <w:rsid w:val="43BD6E5F"/>
    <w:rsid w:val="43BF6C09"/>
    <w:rsid w:val="43CF6B92"/>
    <w:rsid w:val="43D77EA0"/>
    <w:rsid w:val="43E63D5E"/>
    <w:rsid w:val="43FD725B"/>
    <w:rsid w:val="44000AFA"/>
    <w:rsid w:val="440A0592"/>
    <w:rsid w:val="441F3676"/>
    <w:rsid w:val="443B7D84"/>
    <w:rsid w:val="443D7EA8"/>
    <w:rsid w:val="444D0300"/>
    <w:rsid w:val="445F1CC4"/>
    <w:rsid w:val="446217B4"/>
    <w:rsid w:val="448B0D0B"/>
    <w:rsid w:val="44A3316C"/>
    <w:rsid w:val="44B813D4"/>
    <w:rsid w:val="44D02BC2"/>
    <w:rsid w:val="44D3620E"/>
    <w:rsid w:val="4513485D"/>
    <w:rsid w:val="45181E73"/>
    <w:rsid w:val="45196317"/>
    <w:rsid w:val="45404623"/>
    <w:rsid w:val="4545710C"/>
    <w:rsid w:val="454A5FE7"/>
    <w:rsid w:val="456450B8"/>
    <w:rsid w:val="456B4699"/>
    <w:rsid w:val="45725A27"/>
    <w:rsid w:val="457E43CC"/>
    <w:rsid w:val="45886FF9"/>
    <w:rsid w:val="45A152F5"/>
    <w:rsid w:val="45A55DFD"/>
    <w:rsid w:val="45A82767"/>
    <w:rsid w:val="45A858ED"/>
    <w:rsid w:val="45AA3413"/>
    <w:rsid w:val="45BA1C00"/>
    <w:rsid w:val="45BB5620"/>
    <w:rsid w:val="45C06792"/>
    <w:rsid w:val="45E5269D"/>
    <w:rsid w:val="45E85CE9"/>
    <w:rsid w:val="45F10EBA"/>
    <w:rsid w:val="46026DAB"/>
    <w:rsid w:val="462C28FF"/>
    <w:rsid w:val="46482AF5"/>
    <w:rsid w:val="464B69A4"/>
    <w:rsid w:val="465D0485"/>
    <w:rsid w:val="468C48C7"/>
    <w:rsid w:val="46D70238"/>
    <w:rsid w:val="46DA1AD6"/>
    <w:rsid w:val="46E91D19"/>
    <w:rsid w:val="46FC7C9E"/>
    <w:rsid w:val="47134FE8"/>
    <w:rsid w:val="47176886"/>
    <w:rsid w:val="471F2A33"/>
    <w:rsid w:val="47242D51"/>
    <w:rsid w:val="4732546E"/>
    <w:rsid w:val="47462CC7"/>
    <w:rsid w:val="4755115C"/>
    <w:rsid w:val="475C073D"/>
    <w:rsid w:val="476F0470"/>
    <w:rsid w:val="477169A5"/>
    <w:rsid w:val="4799729B"/>
    <w:rsid w:val="47C702AC"/>
    <w:rsid w:val="47D76015"/>
    <w:rsid w:val="47E04AD5"/>
    <w:rsid w:val="4820176A"/>
    <w:rsid w:val="48276F9D"/>
    <w:rsid w:val="48376AB4"/>
    <w:rsid w:val="483A4935"/>
    <w:rsid w:val="484236C9"/>
    <w:rsid w:val="48436870"/>
    <w:rsid w:val="485D29BF"/>
    <w:rsid w:val="485E04E5"/>
    <w:rsid w:val="485F5807"/>
    <w:rsid w:val="4867383D"/>
    <w:rsid w:val="486C0E54"/>
    <w:rsid w:val="48A73C3A"/>
    <w:rsid w:val="48AF089B"/>
    <w:rsid w:val="48B52FCC"/>
    <w:rsid w:val="48BF2D31"/>
    <w:rsid w:val="48DA400F"/>
    <w:rsid w:val="48E42798"/>
    <w:rsid w:val="48FB137B"/>
    <w:rsid w:val="48FF5824"/>
    <w:rsid w:val="490177EE"/>
    <w:rsid w:val="49227764"/>
    <w:rsid w:val="492E6109"/>
    <w:rsid w:val="4941408E"/>
    <w:rsid w:val="49441A41"/>
    <w:rsid w:val="49470F79"/>
    <w:rsid w:val="497E2BEC"/>
    <w:rsid w:val="4981092F"/>
    <w:rsid w:val="499046CE"/>
    <w:rsid w:val="49956188"/>
    <w:rsid w:val="49957F36"/>
    <w:rsid w:val="49971F00"/>
    <w:rsid w:val="49A25B6E"/>
    <w:rsid w:val="49AF724A"/>
    <w:rsid w:val="49BE56DF"/>
    <w:rsid w:val="49CA7BE0"/>
    <w:rsid w:val="49CB1BAA"/>
    <w:rsid w:val="49D547D7"/>
    <w:rsid w:val="49F70BF1"/>
    <w:rsid w:val="4A032866"/>
    <w:rsid w:val="4A113A61"/>
    <w:rsid w:val="4A1B668D"/>
    <w:rsid w:val="4A1D0657"/>
    <w:rsid w:val="4A2C089A"/>
    <w:rsid w:val="4A3656F5"/>
    <w:rsid w:val="4A590AD4"/>
    <w:rsid w:val="4A6A75E9"/>
    <w:rsid w:val="4A6F0787"/>
    <w:rsid w:val="4A6F2535"/>
    <w:rsid w:val="4A787659"/>
    <w:rsid w:val="4A97244C"/>
    <w:rsid w:val="4AB56AE2"/>
    <w:rsid w:val="4AC05487"/>
    <w:rsid w:val="4AC07235"/>
    <w:rsid w:val="4AC24D5B"/>
    <w:rsid w:val="4AC46D25"/>
    <w:rsid w:val="4ADD47B0"/>
    <w:rsid w:val="4AE10F0B"/>
    <w:rsid w:val="4AF40C8C"/>
    <w:rsid w:val="4AFF5FAF"/>
    <w:rsid w:val="4B06733D"/>
    <w:rsid w:val="4B080DC7"/>
    <w:rsid w:val="4B15079E"/>
    <w:rsid w:val="4B320132"/>
    <w:rsid w:val="4B3B4FD2"/>
    <w:rsid w:val="4B3D3D4F"/>
    <w:rsid w:val="4B3F45FD"/>
    <w:rsid w:val="4B410375"/>
    <w:rsid w:val="4B46598C"/>
    <w:rsid w:val="4B647BC0"/>
    <w:rsid w:val="4B685902"/>
    <w:rsid w:val="4B78366B"/>
    <w:rsid w:val="4B7D32A9"/>
    <w:rsid w:val="4B865D88"/>
    <w:rsid w:val="4B897627"/>
    <w:rsid w:val="4B8977CA"/>
    <w:rsid w:val="4B8D5369"/>
    <w:rsid w:val="4B9444ED"/>
    <w:rsid w:val="4BB24DCF"/>
    <w:rsid w:val="4BD27220"/>
    <w:rsid w:val="4BF13B1F"/>
    <w:rsid w:val="4C110A0C"/>
    <w:rsid w:val="4C1959A8"/>
    <w:rsid w:val="4C1E4213"/>
    <w:rsid w:val="4C2F5B9A"/>
    <w:rsid w:val="4C4F0870"/>
    <w:rsid w:val="4C5C4D3B"/>
    <w:rsid w:val="4C5D0378"/>
    <w:rsid w:val="4C714C8A"/>
    <w:rsid w:val="4C79769B"/>
    <w:rsid w:val="4C7B78B7"/>
    <w:rsid w:val="4C883D82"/>
    <w:rsid w:val="4C93089B"/>
    <w:rsid w:val="4CB30DFF"/>
    <w:rsid w:val="4CC15C1C"/>
    <w:rsid w:val="4CC96874"/>
    <w:rsid w:val="4CCC1EC1"/>
    <w:rsid w:val="4CD07C03"/>
    <w:rsid w:val="4D07739D"/>
    <w:rsid w:val="4D111FCA"/>
    <w:rsid w:val="4D113D78"/>
    <w:rsid w:val="4D31441A"/>
    <w:rsid w:val="4D3C7046"/>
    <w:rsid w:val="4D3D4B6D"/>
    <w:rsid w:val="4D41465D"/>
    <w:rsid w:val="4D4B54DB"/>
    <w:rsid w:val="4D583754"/>
    <w:rsid w:val="4D5C27F9"/>
    <w:rsid w:val="4D6245D3"/>
    <w:rsid w:val="4D6B098C"/>
    <w:rsid w:val="4DC31516"/>
    <w:rsid w:val="4DD74FC1"/>
    <w:rsid w:val="4DDA23BB"/>
    <w:rsid w:val="4DDA685F"/>
    <w:rsid w:val="4DE1374A"/>
    <w:rsid w:val="4E6C395B"/>
    <w:rsid w:val="4E7C3473"/>
    <w:rsid w:val="4E813A0E"/>
    <w:rsid w:val="4E816CDB"/>
    <w:rsid w:val="4E850579"/>
    <w:rsid w:val="4E9E788D"/>
    <w:rsid w:val="4EB175C0"/>
    <w:rsid w:val="4EC1082B"/>
    <w:rsid w:val="4EC76DE4"/>
    <w:rsid w:val="4ECA0682"/>
    <w:rsid w:val="4ED74DB7"/>
    <w:rsid w:val="4EF179BD"/>
    <w:rsid w:val="4EF23735"/>
    <w:rsid w:val="4F1E452A"/>
    <w:rsid w:val="4F22401A"/>
    <w:rsid w:val="4F334479"/>
    <w:rsid w:val="4F400944"/>
    <w:rsid w:val="4F4A3571"/>
    <w:rsid w:val="4F4A531F"/>
    <w:rsid w:val="4F4C72E9"/>
    <w:rsid w:val="4F604B42"/>
    <w:rsid w:val="4F624D5E"/>
    <w:rsid w:val="4F6B59C1"/>
    <w:rsid w:val="4F6C2616"/>
    <w:rsid w:val="4F6E54B1"/>
    <w:rsid w:val="4F7076FB"/>
    <w:rsid w:val="4F714FA1"/>
    <w:rsid w:val="4F7E513C"/>
    <w:rsid w:val="4F860A4D"/>
    <w:rsid w:val="4F8847C5"/>
    <w:rsid w:val="4FA17635"/>
    <w:rsid w:val="4FA709C3"/>
    <w:rsid w:val="4FB530E0"/>
    <w:rsid w:val="4FCB7A21"/>
    <w:rsid w:val="4FCE41A2"/>
    <w:rsid w:val="4FD07F1A"/>
    <w:rsid w:val="4FD74D0A"/>
    <w:rsid w:val="4FDC241B"/>
    <w:rsid w:val="4FDC68BF"/>
    <w:rsid w:val="4FF260E2"/>
    <w:rsid w:val="4FF9121F"/>
    <w:rsid w:val="4FFA6D45"/>
    <w:rsid w:val="5000759D"/>
    <w:rsid w:val="50033E4B"/>
    <w:rsid w:val="500B0F52"/>
    <w:rsid w:val="501B116C"/>
    <w:rsid w:val="501D69D5"/>
    <w:rsid w:val="50265D8C"/>
    <w:rsid w:val="502B6EFE"/>
    <w:rsid w:val="502C7FBC"/>
    <w:rsid w:val="503B20C3"/>
    <w:rsid w:val="504F52E3"/>
    <w:rsid w:val="505C7A00"/>
    <w:rsid w:val="50784012"/>
    <w:rsid w:val="507E34D2"/>
    <w:rsid w:val="50AF18DD"/>
    <w:rsid w:val="50C86E43"/>
    <w:rsid w:val="50CC06E1"/>
    <w:rsid w:val="50CF01D2"/>
    <w:rsid w:val="50D13F4A"/>
    <w:rsid w:val="50E61077"/>
    <w:rsid w:val="50FE0AB7"/>
    <w:rsid w:val="510B7160"/>
    <w:rsid w:val="51165E00"/>
    <w:rsid w:val="51302D1C"/>
    <w:rsid w:val="51316717"/>
    <w:rsid w:val="51453FF0"/>
    <w:rsid w:val="517843C5"/>
    <w:rsid w:val="51CC5275"/>
    <w:rsid w:val="51D13AD5"/>
    <w:rsid w:val="51DD247A"/>
    <w:rsid w:val="51DF61F2"/>
    <w:rsid w:val="51E1640E"/>
    <w:rsid w:val="51EE6435"/>
    <w:rsid w:val="51FD114C"/>
    <w:rsid w:val="520C2D5F"/>
    <w:rsid w:val="52151C14"/>
    <w:rsid w:val="521F6F37"/>
    <w:rsid w:val="522307D5"/>
    <w:rsid w:val="5224454D"/>
    <w:rsid w:val="52263E21"/>
    <w:rsid w:val="52366B1E"/>
    <w:rsid w:val="523F3135"/>
    <w:rsid w:val="5248023B"/>
    <w:rsid w:val="524D5852"/>
    <w:rsid w:val="52595776"/>
    <w:rsid w:val="52595E1D"/>
    <w:rsid w:val="526D37FE"/>
    <w:rsid w:val="526F57C8"/>
    <w:rsid w:val="527F3531"/>
    <w:rsid w:val="52953F9A"/>
    <w:rsid w:val="529B480F"/>
    <w:rsid w:val="52B0193D"/>
    <w:rsid w:val="52C13C51"/>
    <w:rsid w:val="52C5363A"/>
    <w:rsid w:val="52D4387D"/>
    <w:rsid w:val="52EC13EF"/>
    <w:rsid w:val="531445C2"/>
    <w:rsid w:val="532F4F57"/>
    <w:rsid w:val="533407C0"/>
    <w:rsid w:val="533E33EC"/>
    <w:rsid w:val="534F73A8"/>
    <w:rsid w:val="535720FA"/>
    <w:rsid w:val="535F5A8C"/>
    <w:rsid w:val="53605111"/>
    <w:rsid w:val="53640A73"/>
    <w:rsid w:val="536C61AC"/>
    <w:rsid w:val="537A08C9"/>
    <w:rsid w:val="537F2901"/>
    <w:rsid w:val="53A45E9A"/>
    <w:rsid w:val="53BB4A3D"/>
    <w:rsid w:val="53C47D96"/>
    <w:rsid w:val="53C90F08"/>
    <w:rsid w:val="53DB482B"/>
    <w:rsid w:val="53DF421F"/>
    <w:rsid w:val="53EC14F6"/>
    <w:rsid w:val="53FA0146"/>
    <w:rsid w:val="540463E4"/>
    <w:rsid w:val="542B6961"/>
    <w:rsid w:val="546038E7"/>
    <w:rsid w:val="549459BA"/>
    <w:rsid w:val="54986705"/>
    <w:rsid w:val="54A6749B"/>
    <w:rsid w:val="54C0055D"/>
    <w:rsid w:val="54D51B2F"/>
    <w:rsid w:val="54DB5397"/>
    <w:rsid w:val="54E56216"/>
    <w:rsid w:val="54E67898"/>
    <w:rsid w:val="55143AB8"/>
    <w:rsid w:val="5531145B"/>
    <w:rsid w:val="55524F2D"/>
    <w:rsid w:val="556829A3"/>
    <w:rsid w:val="556F1F83"/>
    <w:rsid w:val="55711857"/>
    <w:rsid w:val="55733821"/>
    <w:rsid w:val="558C043F"/>
    <w:rsid w:val="559E63C4"/>
    <w:rsid w:val="55A9260E"/>
    <w:rsid w:val="55D342C0"/>
    <w:rsid w:val="55D87B28"/>
    <w:rsid w:val="55F36710"/>
    <w:rsid w:val="562C39D0"/>
    <w:rsid w:val="56475154"/>
    <w:rsid w:val="567D5FDA"/>
    <w:rsid w:val="568B6949"/>
    <w:rsid w:val="5692428E"/>
    <w:rsid w:val="5697353F"/>
    <w:rsid w:val="56A71364"/>
    <w:rsid w:val="56AB69C3"/>
    <w:rsid w:val="56C41E5B"/>
    <w:rsid w:val="56C43C09"/>
    <w:rsid w:val="56FB3ACE"/>
    <w:rsid w:val="5705494D"/>
    <w:rsid w:val="570566FB"/>
    <w:rsid w:val="57203535"/>
    <w:rsid w:val="572648C3"/>
    <w:rsid w:val="573B036F"/>
    <w:rsid w:val="57462870"/>
    <w:rsid w:val="57517B92"/>
    <w:rsid w:val="57671164"/>
    <w:rsid w:val="57711738"/>
    <w:rsid w:val="57743881"/>
    <w:rsid w:val="57853398"/>
    <w:rsid w:val="579058D3"/>
    <w:rsid w:val="57925AB5"/>
    <w:rsid w:val="57A316AD"/>
    <w:rsid w:val="57A55BB2"/>
    <w:rsid w:val="57AA72A2"/>
    <w:rsid w:val="57B63E99"/>
    <w:rsid w:val="57B65C47"/>
    <w:rsid w:val="57BB500C"/>
    <w:rsid w:val="57C55E8A"/>
    <w:rsid w:val="57C9597B"/>
    <w:rsid w:val="57CD4D3F"/>
    <w:rsid w:val="5822508B"/>
    <w:rsid w:val="58262DCD"/>
    <w:rsid w:val="583C439E"/>
    <w:rsid w:val="583D0117"/>
    <w:rsid w:val="5878114F"/>
    <w:rsid w:val="58901FFF"/>
    <w:rsid w:val="58957B8F"/>
    <w:rsid w:val="58AC2BA6"/>
    <w:rsid w:val="58AD704A"/>
    <w:rsid w:val="58BC728D"/>
    <w:rsid w:val="58BF6D7E"/>
    <w:rsid w:val="58CB127E"/>
    <w:rsid w:val="58CB74D0"/>
    <w:rsid w:val="58D72319"/>
    <w:rsid w:val="58DC50C4"/>
    <w:rsid w:val="591E5852"/>
    <w:rsid w:val="59215342"/>
    <w:rsid w:val="59313607"/>
    <w:rsid w:val="595C637A"/>
    <w:rsid w:val="595E0345"/>
    <w:rsid w:val="597B0EF6"/>
    <w:rsid w:val="59851D75"/>
    <w:rsid w:val="5987789B"/>
    <w:rsid w:val="59926240"/>
    <w:rsid w:val="59AD6A12"/>
    <w:rsid w:val="59AF3C10"/>
    <w:rsid w:val="59B83EF9"/>
    <w:rsid w:val="59B937CD"/>
    <w:rsid w:val="59C4289D"/>
    <w:rsid w:val="59CC3500"/>
    <w:rsid w:val="59D6437F"/>
    <w:rsid w:val="59DB3A81"/>
    <w:rsid w:val="5A026F22"/>
    <w:rsid w:val="5A0802B0"/>
    <w:rsid w:val="5A117165"/>
    <w:rsid w:val="5A1530F9"/>
    <w:rsid w:val="5A56101C"/>
    <w:rsid w:val="5A6220B6"/>
    <w:rsid w:val="5A764B0C"/>
    <w:rsid w:val="5A8D7133"/>
    <w:rsid w:val="5AAC470C"/>
    <w:rsid w:val="5ABD72ED"/>
    <w:rsid w:val="5AC4067B"/>
    <w:rsid w:val="5AC468CD"/>
    <w:rsid w:val="5B101B12"/>
    <w:rsid w:val="5B162DBA"/>
    <w:rsid w:val="5B21162A"/>
    <w:rsid w:val="5B280C0A"/>
    <w:rsid w:val="5B4B2B4A"/>
    <w:rsid w:val="5B835E40"/>
    <w:rsid w:val="5B8816A9"/>
    <w:rsid w:val="5BC00E43"/>
    <w:rsid w:val="5BE56AFB"/>
    <w:rsid w:val="5BF13D8C"/>
    <w:rsid w:val="5C225659"/>
    <w:rsid w:val="5C2369D5"/>
    <w:rsid w:val="5C4C0928"/>
    <w:rsid w:val="5C545A2F"/>
    <w:rsid w:val="5C653798"/>
    <w:rsid w:val="5C6739B4"/>
    <w:rsid w:val="5C846314"/>
    <w:rsid w:val="5C9C024C"/>
    <w:rsid w:val="5CAC6EDF"/>
    <w:rsid w:val="5CD10E2D"/>
    <w:rsid w:val="5CDC6150"/>
    <w:rsid w:val="5CE512E3"/>
    <w:rsid w:val="5CF039A9"/>
    <w:rsid w:val="5CF8460C"/>
    <w:rsid w:val="5D0336DD"/>
    <w:rsid w:val="5D1C02FB"/>
    <w:rsid w:val="5D2B685F"/>
    <w:rsid w:val="5D323FC2"/>
    <w:rsid w:val="5D3A69D3"/>
    <w:rsid w:val="5D4F6AF1"/>
    <w:rsid w:val="5D5201C0"/>
    <w:rsid w:val="5D562D6D"/>
    <w:rsid w:val="5D5C1BAA"/>
    <w:rsid w:val="5D7E7207"/>
    <w:rsid w:val="5D812854"/>
    <w:rsid w:val="5D8440F2"/>
    <w:rsid w:val="5D92680F"/>
    <w:rsid w:val="5D9500AD"/>
    <w:rsid w:val="5DA64068"/>
    <w:rsid w:val="5DAB167E"/>
    <w:rsid w:val="5DBE5856"/>
    <w:rsid w:val="5DC46B58"/>
    <w:rsid w:val="5DC866D4"/>
    <w:rsid w:val="5DCD2B84"/>
    <w:rsid w:val="5DDE3802"/>
    <w:rsid w:val="5DDE7CA6"/>
    <w:rsid w:val="5DE30E18"/>
    <w:rsid w:val="5DED7EE9"/>
    <w:rsid w:val="5E093885"/>
    <w:rsid w:val="5E2454B0"/>
    <w:rsid w:val="5E39312E"/>
    <w:rsid w:val="5E4775F9"/>
    <w:rsid w:val="5E5830EC"/>
    <w:rsid w:val="5E7423B8"/>
    <w:rsid w:val="5E777287"/>
    <w:rsid w:val="5E880503"/>
    <w:rsid w:val="5EA44A4C"/>
    <w:rsid w:val="5EA90260"/>
    <w:rsid w:val="5EE74938"/>
    <w:rsid w:val="5EF3152F"/>
    <w:rsid w:val="5EF908A6"/>
    <w:rsid w:val="5EFB03E4"/>
    <w:rsid w:val="5F08322C"/>
    <w:rsid w:val="5F0D0843"/>
    <w:rsid w:val="5F1E0812"/>
    <w:rsid w:val="5F4B3119"/>
    <w:rsid w:val="5F5244A8"/>
    <w:rsid w:val="5F557AF4"/>
    <w:rsid w:val="5F5D4BFA"/>
    <w:rsid w:val="5F6E0BB6"/>
    <w:rsid w:val="5F88611B"/>
    <w:rsid w:val="5F922AF6"/>
    <w:rsid w:val="5FA26CBF"/>
    <w:rsid w:val="5FAB3BB8"/>
    <w:rsid w:val="5FBD5BDF"/>
    <w:rsid w:val="5FBF7663"/>
    <w:rsid w:val="5FC03B07"/>
    <w:rsid w:val="5FC15189"/>
    <w:rsid w:val="5FD44EBD"/>
    <w:rsid w:val="5FE6412F"/>
    <w:rsid w:val="5FEF7F48"/>
    <w:rsid w:val="600B28A8"/>
    <w:rsid w:val="602816AC"/>
    <w:rsid w:val="602A2D2E"/>
    <w:rsid w:val="60402552"/>
    <w:rsid w:val="60432042"/>
    <w:rsid w:val="605B3830"/>
    <w:rsid w:val="605D1356"/>
    <w:rsid w:val="606A3A73"/>
    <w:rsid w:val="606A75CF"/>
    <w:rsid w:val="60AC7BE7"/>
    <w:rsid w:val="60B42F40"/>
    <w:rsid w:val="60C70EC5"/>
    <w:rsid w:val="60D1764E"/>
    <w:rsid w:val="60D55E5E"/>
    <w:rsid w:val="60D72763"/>
    <w:rsid w:val="60DB486A"/>
    <w:rsid w:val="61023CAB"/>
    <w:rsid w:val="61045C75"/>
    <w:rsid w:val="61096DE8"/>
    <w:rsid w:val="610E2650"/>
    <w:rsid w:val="6112322E"/>
    <w:rsid w:val="61185F82"/>
    <w:rsid w:val="612B1454"/>
    <w:rsid w:val="612C2AD6"/>
    <w:rsid w:val="61314591"/>
    <w:rsid w:val="615255EB"/>
    <w:rsid w:val="616B35FF"/>
    <w:rsid w:val="616C7377"/>
    <w:rsid w:val="616D55C9"/>
    <w:rsid w:val="616E7593"/>
    <w:rsid w:val="617526CF"/>
    <w:rsid w:val="61774699"/>
    <w:rsid w:val="618E553F"/>
    <w:rsid w:val="618F19E3"/>
    <w:rsid w:val="61A134C4"/>
    <w:rsid w:val="61AC2E6E"/>
    <w:rsid w:val="61C80A51"/>
    <w:rsid w:val="61C947C9"/>
    <w:rsid w:val="61D70C94"/>
    <w:rsid w:val="61E45F3D"/>
    <w:rsid w:val="61ED04B8"/>
    <w:rsid w:val="61F1327E"/>
    <w:rsid w:val="61FC4B9F"/>
    <w:rsid w:val="621A6DD3"/>
    <w:rsid w:val="62326812"/>
    <w:rsid w:val="625B7B17"/>
    <w:rsid w:val="62614A02"/>
    <w:rsid w:val="629A58E1"/>
    <w:rsid w:val="629D20A7"/>
    <w:rsid w:val="62B47227"/>
    <w:rsid w:val="62C31218"/>
    <w:rsid w:val="62DF24F6"/>
    <w:rsid w:val="62E223B3"/>
    <w:rsid w:val="63220635"/>
    <w:rsid w:val="632E2B36"/>
    <w:rsid w:val="63585E05"/>
    <w:rsid w:val="63624ED5"/>
    <w:rsid w:val="636429FB"/>
    <w:rsid w:val="63862972"/>
    <w:rsid w:val="638B61DA"/>
    <w:rsid w:val="639D5F0D"/>
    <w:rsid w:val="63BE035D"/>
    <w:rsid w:val="63D778B2"/>
    <w:rsid w:val="63E678B4"/>
    <w:rsid w:val="63E94CAF"/>
    <w:rsid w:val="63F21DB5"/>
    <w:rsid w:val="63F81D46"/>
    <w:rsid w:val="641B3AB2"/>
    <w:rsid w:val="642121D9"/>
    <w:rsid w:val="64297B57"/>
    <w:rsid w:val="64357EF4"/>
    <w:rsid w:val="645E38EF"/>
    <w:rsid w:val="6472739A"/>
    <w:rsid w:val="647A1DAB"/>
    <w:rsid w:val="647E5D3F"/>
    <w:rsid w:val="64A258CD"/>
    <w:rsid w:val="64E5191A"/>
    <w:rsid w:val="64F16511"/>
    <w:rsid w:val="64F93617"/>
    <w:rsid w:val="65193FE4"/>
    <w:rsid w:val="65222B6E"/>
    <w:rsid w:val="65270184"/>
    <w:rsid w:val="65401246"/>
    <w:rsid w:val="65610A4C"/>
    <w:rsid w:val="65674A25"/>
    <w:rsid w:val="656B62C3"/>
    <w:rsid w:val="656F1B5E"/>
    <w:rsid w:val="657908A4"/>
    <w:rsid w:val="65876E75"/>
    <w:rsid w:val="65A96DEB"/>
    <w:rsid w:val="65B85280"/>
    <w:rsid w:val="65BF660F"/>
    <w:rsid w:val="65DA1F1B"/>
    <w:rsid w:val="65E16585"/>
    <w:rsid w:val="65F31E15"/>
    <w:rsid w:val="65F67C27"/>
    <w:rsid w:val="65F84BEE"/>
    <w:rsid w:val="660D514E"/>
    <w:rsid w:val="66106E6A"/>
    <w:rsid w:val="66171FA7"/>
    <w:rsid w:val="66236B9E"/>
    <w:rsid w:val="6655487D"/>
    <w:rsid w:val="665A00E6"/>
    <w:rsid w:val="66652D12"/>
    <w:rsid w:val="668C22FA"/>
    <w:rsid w:val="669B6734"/>
    <w:rsid w:val="66A23F66"/>
    <w:rsid w:val="66A55805"/>
    <w:rsid w:val="66CF63DE"/>
    <w:rsid w:val="66E53E53"/>
    <w:rsid w:val="66E55C01"/>
    <w:rsid w:val="66F10A4A"/>
    <w:rsid w:val="66F95B50"/>
    <w:rsid w:val="66FB3677"/>
    <w:rsid w:val="673E3563"/>
    <w:rsid w:val="6744288A"/>
    <w:rsid w:val="674A015A"/>
    <w:rsid w:val="67650AF0"/>
    <w:rsid w:val="676673CA"/>
    <w:rsid w:val="676A6106"/>
    <w:rsid w:val="676D7A10"/>
    <w:rsid w:val="676F7BC1"/>
    <w:rsid w:val="677C19FA"/>
    <w:rsid w:val="67940927"/>
    <w:rsid w:val="679A5CF0"/>
    <w:rsid w:val="67A4786A"/>
    <w:rsid w:val="67BA52E0"/>
    <w:rsid w:val="67BA708E"/>
    <w:rsid w:val="67F307F2"/>
    <w:rsid w:val="67F87BB6"/>
    <w:rsid w:val="680B5B3B"/>
    <w:rsid w:val="68224C33"/>
    <w:rsid w:val="682E182A"/>
    <w:rsid w:val="683B7555"/>
    <w:rsid w:val="68594AF9"/>
    <w:rsid w:val="686314D3"/>
    <w:rsid w:val="68692862"/>
    <w:rsid w:val="687E630D"/>
    <w:rsid w:val="68975621"/>
    <w:rsid w:val="68C06926"/>
    <w:rsid w:val="68C47A98"/>
    <w:rsid w:val="68DE6509"/>
    <w:rsid w:val="68ED3493"/>
    <w:rsid w:val="68F123F5"/>
    <w:rsid w:val="690031C6"/>
    <w:rsid w:val="690F3409"/>
    <w:rsid w:val="69124CA8"/>
    <w:rsid w:val="693C3AD3"/>
    <w:rsid w:val="69431F17"/>
    <w:rsid w:val="6965127B"/>
    <w:rsid w:val="69796AD5"/>
    <w:rsid w:val="698060B5"/>
    <w:rsid w:val="69886D18"/>
    <w:rsid w:val="69935ABC"/>
    <w:rsid w:val="69A078C8"/>
    <w:rsid w:val="69B62717"/>
    <w:rsid w:val="69B95123"/>
    <w:rsid w:val="69D63F27"/>
    <w:rsid w:val="69DA3A17"/>
    <w:rsid w:val="69DD3507"/>
    <w:rsid w:val="69E21F7D"/>
    <w:rsid w:val="69EC374B"/>
    <w:rsid w:val="69F60125"/>
    <w:rsid w:val="6A246A40"/>
    <w:rsid w:val="6A38073E"/>
    <w:rsid w:val="6A4470E3"/>
    <w:rsid w:val="6A7C687C"/>
    <w:rsid w:val="6A8676FB"/>
    <w:rsid w:val="6A98679B"/>
    <w:rsid w:val="6A9C5004"/>
    <w:rsid w:val="6A9E040D"/>
    <w:rsid w:val="6AA656A7"/>
    <w:rsid w:val="6AA81420"/>
    <w:rsid w:val="6AB853DB"/>
    <w:rsid w:val="6ABD403C"/>
    <w:rsid w:val="6AC83870"/>
    <w:rsid w:val="6B0074AE"/>
    <w:rsid w:val="6B0D04AA"/>
    <w:rsid w:val="6B1C55FE"/>
    <w:rsid w:val="6B1E16E2"/>
    <w:rsid w:val="6B2F7D93"/>
    <w:rsid w:val="6B383F7F"/>
    <w:rsid w:val="6B4B624F"/>
    <w:rsid w:val="6B4E7556"/>
    <w:rsid w:val="6B5F7C0C"/>
    <w:rsid w:val="6B757AC3"/>
    <w:rsid w:val="6B7C465A"/>
    <w:rsid w:val="6B8359E9"/>
    <w:rsid w:val="6B923E7E"/>
    <w:rsid w:val="6B930322"/>
    <w:rsid w:val="6B96396E"/>
    <w:rsid w:val="6BD149A6"/>
    <w:rsid w:val="6BE75E0F"/>
    <w:rsid w:val="6C0E79A8"/>
    <w:rsid w:val="6C303DC2"/>
    <w:rsid w:val="6C3513D9"/>
    <w:rsid w:val="6C3C2767"/>
    <w:rsid w:val="6C472EBA"/>
    <w:rsid w:val="6C71135B"/>
    <w:rsid w:val="6C7970DA"/>
    <w:rsid w:val="6C9A5507"/>
    <w:rsid w:val="6CA30ED4"/>
    <w:rsid w:val="6CB71DEE"/>
    <w:rsid w:val="6CBD4F2A"/>
    <w:rsid w:val="6CC22541"/>
    <w:rsid w:val="6CCA7D73"/>
    <w:rsid w:val="6CE34991"/>
    <w:rsid w:val="6CE81FA7"/>
    <w:rsid w:val="6D0B3EE8"/>
    <w:rsid w:val="6D1159A2"/>
    <w:rsid w:val="6D284A9A"/>
    <w:rsid w:val="6D3163BE"/>
    <w:rsid w:val="6D382E4B"/>
    <w:rsid w:val="6D413DAD"/>
    <w:rsid w:val="6D4A0EB4"/>
    <w:rsid w:val="6D4C4C2C"/>
    <w:rsid w:val="6D4F0278"/>
    <w:rsid w:val="6D4F2026"/>
    <w:rsid w:val="6D5C4743"/>
    <w:rsid w:val="6D723F67"/>
    <w:rsid w:val="6D7B029E"/>
    <w:rsid w:val="6D7D0072"/>
    <w:rsid w:val="6D7F0B60"/>
    <w:rsid w:val="6D844AAC"/>
    <w:rsid w:val="6D8C327A"/>
    <w:rsid w:val="6DB77BCC"/>
    <w:rsid w:val="6DB921CC"/>
    <w:rsid w:val="6DC347C2"/>
    <w:rsid w:val="6DC36570"/>
    <w:rsid w:val="6DF57072"/>
    <w:rsid w:val="6E0F17B6"/>
    <w:rsid w:val="6E192634"/>
    <w:rsid w:val="6E272FA3"/>
    <w:rsid w:val="6E296D1B"/>
    <w:rsid w:val="6E331948"/>
    <w:rsid w:val="6E396833"/>
    <w:rsid w:val="6E3D27C7"/>
    <w:rsid w:val="6E4E0530"/>
    <w:rsid w:val="6E5A0C83"/>
    <w:rsid w:val="6E5A5127"/>
    <w:rsid w:val="6E641B01"/>
    <w:rsid w:val="6E70494A"/>
    <w:rsid w:val="6E7B2237"/>
    <w:rsid w:val="6E7C509D"/>
    <w:rsid w:val="6E7F4B8D"/>
    <w:rsid w:val="6E9D60EF"/>
    <w:rsid w:val="6EBD10DA"/>
    <w:rsid w:val="6ED749C9"/>
    <w:rsid w:val="6EE13152"/>
    <w:rsid w:val="6EF03395"/>
    <w:rsid w:val="6EF35E67"/>
    <w:rsid w:val="6EFE3D04"/>
    <w:rsid w:val="6F3752BC"/>
    <w:rsid w:val="6F5002D8"/>
    <w:rsid w:val="6F502086"/>
    <w:rsid w:val="6F72024E"/>
    <w:rsid w:val="6F765F90"/>
    <w:rsid w:val="6F920B6B"/>
    <w:rsid w:val="6F9603E0"/>
    <w:rsid w:val="6F9F7969"/>
    <w:rsid w:val="6FEA4288"/>
    <w:rsid w:val="70117A67"/>
    <w:rsid w:val="701B08E6"/>
    <w:rsid w:val="702C48A1"/>
    <w:rsid w:val="70455963"/>
    <w:rsid w:val="704E0CBB"/>
    <w:rsid w:val="704E2A69"/>
    <w:rsid w:val="707149AA"/>
    <w:rsid w:val="70716758"/>
    <w:rsid w:val="70A10D50"/>
    <w:rsid w:val="70A92069"/>
    <w:rsid w:val="70B623BC"/>
    <w:rsid w:val="70BC274C"/>
    <w:rsid w:val="70CB2F29"/>
    <w:rsid w:val="70F96E79"/>
    <w:rsid w:val="712832BA"/>
    <w:rsid w:val="71461992"/>
    <w:rsid w:val="7161057A"/>
    <w:rsid w:val="71687ABE"/>
    <w:rsid w:val="71771B4C"/>
    <w:rsid w:val="71791D68"/>
    <w:rsid w:val="717C7162"/>
    <w:rsid w:val="719721EE"/>
    <w:rsid w:val="71A32941"/>
    <w:rsid w:val="71A861A9"/>
    <w:rsid w:val="71B52674"/>
    <w:rsid w:val="71CC00E7"/>
    <w:rsid w:val="71E573FD"/>
    <w:rsid w:val="71EF202A"/>
    <w:rsid w:val="71F17B50"/>
    <w:rsid w:val="72193B9F"/>
    <w:rsid w:val="722A3062"/>
    <w:rsid w:val="72323CC5"/>
    <w:rsid w:val="72402885"/>
    <w:rsid w:val="724265F5"/>
    <w:rsid w:val="72606A84"/>
    <w:rsid w:val="726522EC"/>
    <w:rsid w:val="726C5429"/>
    <w:rsid w:val="727662A7"/>
    <w:rsid w:val="728F1117"/>
    <w:rsid w:val="72A526E9"/>
    <w:rsid w:val="72C07522"/>
    <w:rsid w:val="72E06781"/>
    <w:rsid w:val="72FA2A34"/>
    <w:rsid w:val="7306325C"/>
    <w:rsid w:val="730B69EF"/>
    <w:rsid w:val="7336175E"/>
    <w:rsid w:val="735F0AE9"/>
    <w:rsid w:val="73781BAB"/>
    <w:rsid w:val="73944C37"/>
    <w:rsid w:val="739A0347"/>
    <w:rsid w:val="73C179F6"/>
    <w:rsid w:val="73C92407"/>
    <w:rsid w:val="740759EF"/>
    <w:rsid w:val="74092E99"/>
    <w:rsid w:val="74123091"/>
    <w:rsid w:val="74274085"/>
    <w:rsid w:val="74365CEE"/>
    <w:rsid w:val="746740F9"/>
    <w:rsid w:val="747131CA"/>
    <w:rsid w:val="74784559"/>
    <w:rsid w:val="747F58E7"/>
    <w:rsid w:val="74887DC7"/>
    <w:rsid w:val="748A7DE8"/>
    <w:rsid w:val="74987D58"/>
    <w:rsid w:val="74A0585D"/>
    <w:rsid w:val="74B11819"/>
    <w:rsid w:val="74C16CDF"/>
    <w:rsid w:val="74CE23CA"/>
    <w:rsid w:val="74EE0377"/>
    <w:rsid w:val="75273889"/>
    <w:rsid w:val="752B3379"/>
    <w:rsid w:val="75322959"/>
    <w:rsid w:val="753C6510"/>
    <w:rsid w:val="753F0BD2"/>
    <w:rsid w:val="754D7793"/>
    <w:rsid w:val="756B5E6B"/>
    <w:rsid w:val="758364B7"/>
    <w:rsid w:val="759A04FF"/>
    <w:rsid w:val="759E1D9D"/>
    <w:rsid w:val="75BA64AB"/>
    <w:rsid w:val="75F75C0E"/>
    <w:rsid w:val="76105FB9"/>
    <w:rsid w:val="7616179B"/>
    <w:rsid w:val="76397D18"/>
    <w:rsid w:val="7651022E"/>
    <w:rsid w:val="766D176F"/>
    <w:rsid w:val="76816FC9"/>
    <w:rsid w:val="768D0E64"/>
    <w:rsid w:val="768F5B89"/>
    <w:rsid w:val="7693567A"/>
    <w:rsid w:val="769413F2"/>
    <w:rsid w:val="769466F4"/>
    <w:rsid w:val="76A827A7"/>
    <w:rsid w:val="76A96C4B"/>
    <w:rsid w:val="76DA32A9"/>
    <w:rsid w:val="76E465AA"/>
    <w:rsid w:val="76FA193D"/>
    <w:rsid w:val="771147F0"/>
    <w:rsid w:val="771F0CBB"/>
    <w:rsid w:val="77381D7D"/>
    <w:rsid w:val="774626EC"/>
    <w:rsid w:val="774F0FDE"/>
    <w:rsid w:val="77536BB7"/>
    <w:rsid w:val="779F0312"/>
    <w:rsid w:val="77A47413"/>
    <w:rsid w:val="77A80CB1"/>
    <w:rsid w:val="77B75398"/>
    <w:rsid w:val="78362761"/>
    <w:rsid w:val="785D5F3F"/>
    <w:rsid w:val="78723B72"/>
    <w:rsid w:val="78874D6A"/>
    <w:rsid w:val="78B96EEE"/>
    <w:rsid w:val="78C630F3"/>
    <w:rsid w:val="78E201F2"/>
    <w:rsid w:val="78EA70A7"/>
    <w:rsid w:val="78F10436"/>
    <w:rsid w:val="793437F6"/>
    <w:rsid w:val="79492020"/>
    <w:rsid w:val="794E7636"/>
    <w:rsid w:val="79627585"/>
    <w:rsid w:val="79725A1A"/>
    <w:rsid w:val="797572B9"/>
    <w:rsid w:val="797846B3"/>
    <w:rsid w:val="798219D5"/>
    <w:rsid w:val="798C63B0"/>
    <w:rsid w:val="799A0ACD"/>
    <w:rsid w:val="79A656C4"/>
    <w:rsid w:val="79B53B59"/>
    <w:rsid w:val="79DD6C0C"/>
    <w:rsid w:val="79DE2C82"/>
    <w:rsid w:val="79F006ED"/>
    <w:rsid w:val="79F90E16"/>
    <w:rsid w:val="7A342CD0"/>
    <w:rsid w:val="7A4B626B"/>
    <w:rsid w:val="7A4F18B8"/>
    <w:rsid w:val="7A53292F"/>
    <w:rsid w:val="7A5944E4"/>
    <w:rsid w:val="7A884DCA"/>
    <w:rsid w:val="7A8A0B42"/>
    <w:rsid w:val="7A923E9A"/>
    <w:rsid w:val="7ABE2599"/>
    <w:rsid w:val="7AC2652D"/>
    <w:rsid w:val="7ACB402D"/>
    <w:rsid w:val="7ACE4ED2"/>
    <w:rsid w:val="7AE364A4"/>
    <w:rsid w:val="7B234AF2"/>
    <w:rsid w:val="7B242D44"/>
    <w:rsid w:val="7B354F51"/>
    <w:rsid w:val="7B4909FD"/>
    <w:rsid w:val="7B783090"/>
    <w:rsid w:val="7BD5403F"/>
    <w:rsid w:val="7BF2699E"/>
    <w:rsid w:val="7BF70459"/>
    <w:rsid w:val="7BFF2E69"/>
    <w:rsid w:val="7C10151B"/>
    <w:rsid w:val="7C132B27"/>
    <w:rsid w:val="7C2F41E4"/>
    <w:rsid w:val="7C3E4599"/>
    <w:rsid w:val="7C5C650E"/>
    <w:rsid w:val="7C6B49A3"/>
    <w:rsid w:val="7C792107"/>
    <w:rsid w:val="7CA0289E"/>
    <w:rsid w:val="7CA875CE"/>
    <w:rsid w:val="7CA9476E"/>
    <w:rsid w:val="7CAB0170"/>
    <w:rsid w:val="7CBE0F77"/>
    <w:rsid w:val="7CC83BA3"/>
    <w:rsid w:val="7CF95B0B"/>
    <w:rsid w:val="7D056BA5"/>
    <w:rsid w:val="7D0B583E"/>
    <w:rsid w:val="7D0C3A90"/>
    <w:rsid w:val="7D1868D9"/>
    <w:rsid w:val="7D427194"/>
    <w:rsid w:val="7D450D50"/>
    <w:rsid w:val="7D496F45"/>
    <w:rsid w:val="7D4F1BCF"/>
    <w:rsid w:val="7D5316BF"/>
    <w:rsid w:val="7D6A07B6"/>
    <w:rsid w:val="7D807FDA"/>
    <w:rsid w:val="7D842D34"/>
    <w:rsid w:val="7DB14637"/>
    <w:rsid w:val="7DBC41DF"/>
    <w:rsid w:val="7DC10D1E"/>
    <w:rsid w:val="7DD1451E"/>
    <w:rsid w:val="7DF06F0E"/>
    <w:rsid w:val="7DF26E9C"/>
    <w:rsid w:val="7DFD162B"/>
    <w:rsid w:val="7E2272E3"/>
    <w:rsid w:val="7E437985"/>
    <w:rsid w:val="7E525E1A"/>
    <w:rsid w:val="7E566C54"/>
    <w:rsid w:val="7E5908CA"/>
    <w:rsid w:val="7E5A4CCF"/>
    <w:rsid w:val="7E5F4093"/>
    <w:rsid w:val="7E633B84"/>
    <w:rsid w:val="7E6351AE"/>
    <w:rsid w:val="7E7465E4"/>
    <w:rsid w:val="7E755665"/>
    <w:rsid w:val="7E865AC4"/>
    <w:rsid w:val="7E9975A5"/>
    <w:rsid w:val="7E9B6173"/>
    <w:rsid w:val="7ED76320"/>
    <w:rsid w:val="7ED94253"/>
    <w:rsid w:val="7EE36A72"/>
    <w:rsid w:val="7EED169F"/>
    <w:rsid w:val="7EED78F1"/>
    <w:rsid w:val="7EF173E1"/>
    <w:rsid w:val="7EF90044"/>
    <w:rsid w:val="7F080287"/>
    <w:rsid w:val="7F0809D3"/>
    <w:rsid w:val="7F0F7867"/>
    <w:rsid w:val="7F1B26B0"/>
    <w:rsid w:val="7F207CC7"/>
    <w:rsid w:val="7F21759B"/>
    <w:rsid w:val="7F743B6E"/>
    <w:rsid w:val="7F8042C1"/>
    <w:rsid w:val="7F820039"/>
    <w:rsid w:val="7F840255"/>
    <w:rsid w:val="7F8738A2"/>
    <w:rsid w:val="7F963AE5"/>
    <w:rsid w:val="7F983D01"/>
    <w:rsid w:val="7FAB3A34"/>
    <w:rsid w:val="7FC44AF6"/>
    <w:rsid w:val="7FD80115"/>
    <w:rsid w:val="7FED309B"/>
    <w:rsid w:val="7FF627D5"/>
    <w:rsid w:val="9AB214C5"/>
    <w:rsid w:val="F1FFAF6F"/>
    <w:rsid w:val="FB8F66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22"/>
      <w:szCs w:val="22"/>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Autospacing="1" w:afterAutospacing="1"/>
      <w:jc w:val="left"/>
    </w:pPr>
    <w:rPr>
      <w:rFonts w:cs="Times New Roman"/>
      <w:kern w:val="0"/>
      <w:sz w:val="24"/>
    </w:rPr>
  </w:style>
  <w:style w:type="paragraph" w:customStyle="1" w:styleId="8">
    <w:name w:val="Picture caption|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paragraph" w:customStyle="1" w:styleId="9">
    <w:name w:val="Other|1"/>
    <w:basedOn w:val="1"/>
    <w:autoRedefine/>
    <w:qFormat/>
    <w:uiPriority w:val="0"/>
    <w:pPr>
      <w:widowControl w:val="0"/>
      <w:shd w:val="clear" w:color="auto" w:fill="auto"/>
    </w:pPr>
    <w:rPr>
      <w:rFonts w:ascii="宋体" w:hAnsi="宋体" w:eastAsia="宋体" w:cs="宋体"/>
      <w:i/>
      <w:iCs/>
      <w:sz w:val="20"/>
      <w:szCs w:val="20"/>
      <w:u w:val="none"/>
      <w:shd w:val="clear" w:color="auto" w:fill="auto"/>
      <w:lang w:val="zh-TW" w:eastAsia="zh-TW" w:bidi="zh-TW"/>
    </w:rPr>
  </w:style>
  <w:style w:type="character" w:customStyle="1" w:styleId="10">
    <w:name w:val="font11"/>
    <w:basedOn w:val="7"/>
    <w:autoRedefine/>
    <w:qFormat/>
    <w:uiPriority w:val="0"/>
    <w:rPr>
      <w:rFonts w:hint="eastAsia" w:ascii="宋体" w:hAnsi="宋体" w:eastAsia="宋体" w:cs="宋体"/>
      <w:color w:val="000000"/>
      <w:sz w:val="22"/>
      <w:szCs w:val="22"/>
      <w:u w:val="none"/>
    </w:rPr>
  </w:style>
  <w:style w:type="character" w:customStyle="1" w:styleId="11">
    <w:name w:val="font41"/>
    <w:basedOn w:val="7"/>
    <w:autoRedefine/>
    <w:qFormat/>
    <w:uiPriority w:val="0"/>
    <w:rPr>
      <w:rFonts w:hint="eastAsia" w:ascii="黑体" w:hAnsi="宋体" w:eastAsia="黑体" w:cs="黑体"/>
      <w:color w:val="000000"/>
      <w:sz w:val="22"/>
      <w:szCs w:val="22"/>
      <w:u w:val="none"/>
    </w:rPr>
  </w:style>
  <w:style w:type="character" w:customStyle="1" w:styleId="12">
    <w:name w:val="font61"/>
    <w:basedOn w:val="7"/>
    <w:autoRedefine/>
    <w:qFormat/>
    <w:uiPriority w:val="0"/>
    <w:rPr>
      <w:rFonts w:hint="eastAsia" w:ascii="黑体" w:hAnsi="宋体" w:eastAsia="黑体" w:cs="黑体"/>
      <w:color w:val="000000"/>
      <w:sz w:val="26"/>
      <w:szCs w:val="26"/>
      <w:u w:val="none"/>
    </w:rPr>
  </w:style>
  <w:style w:type="paragraph" w:customStyle="1" w:styleId="13">
    <w:name w:val="Body text|2"/>
    <w:basedOn w:val="1"/>
    <w:autoRedefine/>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4">
    <w:name w:val="Body text|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5">
    <w:name w:val="Body text|6"/>
    <w:basedOn w:val="1"/>
    <w:autoRedefine/>
    <w:qFormat/>
    <w:uiPriority w:val="0"/>
    <w:pPr>
      <w:widowControl w:val="0"/>
      <w:shd w:val="clear" w:color="auto" w:fill="auto"/>
      <w:ind w:firstLine="460"/>
    </w:pPr>
    <w:rPr>
      <w:rFonts w:ascii="宋体" w:hAnsi="宋体" w:eastAsia="宋体" w:cs="宋体"/>
      <w:sz w:val="36"/>
      <w:szCs w:val="36"/>
      <w:u w:val="none"/>
      <w:shd w:val="clear" w:color="auto" w:fill="auto"/>
      <w:lang w:val="zh-TW" w:eastAsia="zh-TW" w:bidi="zh-TW"/>
    </w:rPr>
  </w:style>
  <w:style w:type="paragraph" w:customStyle="1" w:styleId="16">
    <w:name w:val="Heading #4|1"/>
    <w:basedOn w:val="1"/>
    <w:autoRedefine/>
    <w:qFormat/>
    <w:uiPriority w:val="0"/>
    <w:pPr>
      <w:widowControl w:val="0"/>
      <w:shd w:val="clear" w:color="auto" w:fill="auto"/>
      <w:spacing w:after="130"/>
      <w:ind w:firstLine="410"/>
      <w:outlineLvl w:val="3"/>
    </w:pPr>
    <w:rPr>
      <w:rFonts w:ascii="宋体" w:hAnsi="宋体" w:eastAsia="宋体" w:cs="宋体"/>
      <w:color w:val="D8463E"/>
      <w:sz w:val="32"/>
      <w:szCs w:val="32"/>
      <w:u w:val="none"/>
      <w:shd w:val="clear" w:color="auto" w:fill="auto"/>
      <w:lang w:val="zh-TW" w:eastAsia="zh-TW" w:bidi="zh-TW"/>
    </w:rPr>
  </w:style>
  <w:style w:type="character" w:customStyle="1" w:styleId="17">
    <w:name w:val="font01"/>
    <w:basedOn w:val="7"/>
    <w:autoRedefine/>
    <w:qFormat/>
    <w:uiPriority w:val="0"/>
    <w:rPr>
      <w:rFonts w:hint="eastAsia" w:ascii="宋体" w:hAnsi="宋体" w:eastAsia="宋体" w:cs="宋体"/>
      <w:color w:val="000000"/>
      <w:sz w:val="22"/>
      <w:szCs w:val="22"/>
      <w:u w:val="none"/>
    </w:rPr>
  </w:style>
  <w:style w:type="character" w:customStyle="1" w:styleId="18">
    <w:name w:val="font31"/>
    <w:basedOn w:val="7"/>
    <w:autoRedefine/>
    <w:qFormat/>
    <w:uiPriority w:val="0"/>
    <w:rPr>
      <w:rFonts w:hint="eastAsia" w:ascii="黑体" w:hAnsi="宋体" w:eastAsia="黑体" w:cs="黑体"/>
      <w:color w:val="000000"/>
      <w:sz w:val="22"/>
      <w:szCs w:val="22"/>
      <w:u w:val="none"/>
    </w:rPr>
  </w:style>
  <w:style w:type="paragraph" w:customStyle="1" w:styleId="19">
    <w:name w:val="Heading #3|1"/>
    <w:basedOn w:val="1"/>
    <w:autoRedefine/>
    <w:qFormat/>
    <w:uiPriority w:val="0"/>
    <w:pPr>
      <w:widowControl w:val="0"/>
      <w:shd w:val="clear" w:color="auto" w:fill="auto"/>
      <w:spacing w:after="240"/>
      <w:ind w:firstLine="420"/>
      <w:outlineLvl w:val="2"/>
    </w:pPr>
    <w:rPr>
      <w:rFonts w:ascii="宋体" w:hAnsi="宋体" w:eastAsia="宋体" w:cs="宋体"/>
      <w:color w:val="D8463E"/>
      <w:sz w:val="32"/>
      <w:szCs w:val="32"/>
      <w:u w:val="none"/>
      <w:shd w:val="clear" w:color="auto" w:fill="auto"/>
      <w:lang w:val="zh-TW" w:eastAsia="zh-TW" w:bidi="zh-TW"/>
    </w:rPr>
  </w:style>
  <w:style w:type="paragraph" w:customStyle="1" w:styleId="20">
    <w:name w:val="普通正文"/>
    <w:basedOn w:val="1"/>
    <w:autoRedefine/>
    <w:qFormat/>
    <w:uiPriority w:val="0"/>
    <w:pPr>
      <w:spacing w:line="420" w:lineRule="exact"/>
      <w:ind w:firstLine="471"/>
    </w:pPr>
    <w:rPr>
      <w:rFonts w:cs="微软雅黑"/>
      <w:color w:val="000000" w:themeColor="text1"/>
      <w:sz w:val="24"/>
      <w:szCs w:val="21"/>
      <w14:textFill>
        <w14:solidFill>
          <w14:schemeClr w14:val="tx1"/>
        </w14:solidFill>
      </w14:textFill>
    </w:rPr>
  </w:style>
  <w:style w:type="paragraph" w:customStyle="1" w:styleId="21">
    <w:name w:val="CN规则"/>
    <w:basedOn w:val="22"/>
    <w:autoRedefine/>
    <w:qFormat/>
    <w:uiPriority w:val="0"/>
    <w:pPr>
      <w:numPr>
        <w:ilvl w:val="0"/>
        <w:numId w:val="1"/>
      </w:numPr>
      <w:ind w:left="0" w:firstLine="200"/>
    </w:pPr>
  </w:style>
  <w:style w:type="paragraph" w:customStyle="1" w:styleId="22">
    <w:name w:val="规则"/>
    <w:basedOn w:val="23"/>
    <w:autoRedefine/>
    <w:qFormat/>
    <w:uiPriority w:val="0"/>
    <w:pPr>
      <w:numPr>
        <w:ilvl w:val="0"/>
        <w:numId w:val="2"/>
      </w:numPr>
    </w:pPr>
    <w:rPr>
      <w:rFonts w:cs="Arial"/>
      <w14:scene3d>
        <w14:lightRig w14:rig="threePt" w14:dir="t">
          <w14:rot w14:lat="0" w14:lon="0" w14:rev="0"/>
        </w14:lightRig>
      </w14:scene3d>
    </w:rPr>
  </w:style>
  <w:style w:type="paragraph" w:customStyle="1" w:styleId="23">
    <w:name w:val="技术规范"/>
    <w:basedOn w:val="1"/>
    <w:autoRedefine/>
    <w:qFormat/>
    <w:uiPriority w:val="0"/>
    <w:pPr>
      <w:numPr>
        <w:ilvl w:val="0"/>
        <w:numId w:val="3"/>
      </w:numPr>
      <w:spacing w:line="420" w:lineRule="exact"/>
      <w:ind w:left="0" w:firstLine="200" w:firstLineChars="200"/>
    </w:pPr>
    <w:rPr>
      <w:rFonts w:cs="微软雅黑"/>
      <w:sz w:val="24"/>
      <w:szCs w:val="21"/>
      <w:lang w:val="en-GB"/>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Table Text"/>
    <w:basedOn w:val="1"/>
    <w:semiHidden/>
    <w:qFormat/>
    <w:uiPriority w:val="0"/>
    <w:rPr>
      <w:rFonts w:ascii="宋体" w:hAnsi="宋体" w:eastAsia="宋体" w:cs="宋体"/>
      <w:sz w:val="25"/>
      <w:szCs w:val="25"/>
      <w:lang w:val="en-US" w:eastAsia="en-US" w:bidi="ar-SA"/>
    </w:rPr>
  </w:style>
  <w:style w:type="table" w:customStyle="1" w:styleId="2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0" Type="http://schemas.openxmlformats.org/officeDocument/2006/relationships/fontTable" Target="fontTable.xml"/><Relationship Id="rId5" Type="http://schemas.openxmlformats.org/officeDocument/2006/relationships/image" Target="media/image1.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9302</Words>
  <Characters>9960</Characters>
  <Lines>0</Lines>
  <Paragraphs>0</Paragraphs>
  <TotalTime>12</TotalTime>
  <ScaleCrop>false</ScaleCrop>
  <LinksUpToDate>false</LinksUpToDate>
  <CharactersWithSpaces>10079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2021-12-31T03:52:00Z</dcterms:created>
  <dc:creator>zzz</dc:creator>
  <cp:lastModifiedBy>bob</cp:lastModifiedBy>
  <dcterms:modified xsi:type="dcterms:W3CDTF">2025-02-26T02:10:29Z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233F677F3C904B549E0B58157E00738B_13</vt:lpwstr>
  </property>
  <property fmtid="{D5CDD505-2E9C-101B-9397-08002B2CF9AE}" pid="4" name="KSOTemplateDocerSaveRecord">
    <vt:lpwstr>eyJoZGlkIjoiOTQ1MTc3YTE1ZTNmODBkZWIzZmE0YmIyOGRkZTgwN2UiLCJ1c2VySWQiOiI0NDQwMDAyNzQifQ==</vt:lpwstr>
  </property>
</Properties>
</file>