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Arial"/>
          <w:b/>
          <w:bCs/>
          <w:color w:val="000000" w:themeColor="text1"/>
          <w:kern w:val="0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202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年第十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届福州市青少年机器人竞赛</w:t>
      </w:r>
    </w:p>
    <w:p>
      <w:pPr>
        <w:jc w:val="center"/>
        <w:rPr>
          <w:rFonts w:hint="eastAsia" w:ascii="宋体" w:hAnsi="宋体" w:cs="Arial"/>
          <w:b/>
          <w:color w:val="000000" w:themeColor="text1"/>
          <w:kern w:val="0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rial"/>
          <w:b/>
          <w:color w:val="000000" w:themeColor="text1"/>
          <w:kern w:val="0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机器人普及赛-实物编程赛项说明</w:t>
      </w:r>
    </w:p>
    <w:p>
      <w:pPr>
        <w:jc w:val="center"/>
        <w:rPr>
          <w:rFonts w:hint="eastAsia" w:ascii="宋体" w:hAnsi="宋体" w:cs="Arial"/>
          <w:b/>
          <w:color w:val="000000" w:themeColor="text1"/>
          <w:kern w:val="0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一、比赛简介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为贯彻2017年7月国务院《新一代人工智能发展规划》提出的“实施全民智能教育项目，在中小学设置人工智能相关课程，逐步推广编程教育”的规划内容；落实党的二十大报告中关于“发展素质教育，促进教育公平，强化特殊教育普惠发展”的指示精神；根据教育部等七部门印发的《“十四五”特殊教育发展提升行动计划》和教育部、国家卫生健康委员会等八部门联合印发《综合防控儿童青少年近视实施方案》相关工作方向，特设立本竞赛项目。本竞赛项目通过非电子屏幕的实物编程现场竞技任务，促进青少年编程教育的普特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本竞赛项目基于感知-认知学习模式的具象化编程语言，展现当代青少年在数字化学习与创新方面的信息素养。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二、比赛主题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比赛主题为“实物编程，共享蓝天”。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三、比赛内容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（一）通用内容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比赛要求参赛队使用实物编程指令完成比赛任务。比赛检验参赛者对编程思维和算法设计的应用水平，锻炼参赛者编程和计算思维能力。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比赛内容为两个部分：现场比赛部分和作品展示部分。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现场比赛部分：比赛任务现场发布，在规定的时间内，参赛者现场编程，并通过机器人验证程序，完成比赛任务。比赛任务通常要求机器人能从起点出发，按正确顺序，经过若干指定途径点，抵达终点。按照规则计算比赛得分，具体详见第五部分“比赛规则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作品展示部分：作品展示以答辩形式完成，考核参赛者对任务主题的理解。要求参赛者提交书面材料（A4纸打印），并在规定的时间表达设计理念，鼓励参赛者按照主题去装饰机器人，内容包括但不仅限以下几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（1）团队介绍（200字以内，包括团队名称、团队口号、竞赛理念、成员姓名、性别、年龄及成员个人分工及特长介绍）；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（2）设计理念（200字以内，设计思想、实现主要过程）；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（3）制作过程中的图片资料（标注说明及日期）；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演讲不得超过3分钟。答辩裁判在演讲后会提出一些问题并根据演讲情况打分。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（二）分组内容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比赛任务现场发布，在规定时间内，参赛队现场完成编程任务，机器人可提前装饰（装饰部分不能影响机器人正常运行，且在比赛过程中不可拆卸）。参赛队作品展示后，由裁判进行评价打分。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选手报名组别按参赛选手当前在读学段，仅设小学组（1-3年级）。本赛项以团队形式报名，每队人数为2人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四、比赛场地（道具）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比赛任务主题“一带一路”。作品展示部分围绕此主题讲解。比赛任务底图将由组委会提供。材质尺寸为1140x1180mm哑光移动背胶。</w:t>
      </w:r>
    </w:p>
    <w:p>
      <w:pPr>
        <w:jc w:val="left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5266690" cy="5086350"/>
            <wp:effectExtent l="0" t="0" r="1016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pacing w:val="-4"/>
          <w:sz w:val="24"/>
          <w:szCs w:val="24"/>
        </w:rPr>
        <w:t>实</w:t>
      </w:r>
      <w:r>
        <w:rPr>
          <w:rFonts w:ascii="仿宋" w:hAnsi="仿宋" w:eastAsia="仿宋" w:cs="仿宋"/>
          <w:spacing w:val="-3"/>
          <w:sz w:val="24"/>
          <w:szCs w:val="24"/>
        </w:rPr>
        <w:t>物</w:t>
      </w:r>
      <w:r>
        <w:rPr>
          <w:rFonts w:ascii="仿宋" w:hAnsi="仿宋" w:eastAsia="仿宋" w:cs="仿宋"/>
          <w:spacing w:val="-2"/>
          <w:sz w:val="24"/>
          <w:szCs w:val="24"/>
        </w:rPr>
        <w:t>编程任务底图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五、比赛规则和得分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（一）比赛规则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1.本次比赛的原则为非禁止即许可。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2.比赛包括现场比赛和作品展示两部分。实物编程方式的智能机器人须由程序控制自主运行。（具体得分说明见第七项“比赛得分”）。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3.现场比赛时间共13分钟，分为准备、比赛、答辩三个阶段。各阶段时间分配详见表1。</w:t>
      </w:r>
    </w:p>
    <w:p>
      <w:pPr>
        <w:jc w:val="center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表1现场比赛时间分配表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4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准备阶段</w:t>
            </w: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3510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比赛阶段</w:t>
            </w: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答辩阶段</w:t>
            </w:r>
          </w:p>
        </w:tc>
        <w:tc>
          <w:tcPr>
            <w:tcW w:w="4245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3分钟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4.每支参赛队有1次比赛机会。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5.比赛取比赛阶段加答辩阶段总分为最终成绩。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6.准备阶段，参赛队需根据现场抽签结果规划程序，反复验证以保证顺利完成任务。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7.比赛阶段参赛队完成任务并向裁判确认完成时间后，不得再触碰机器人或实物编程指令，如有触碰，计入违规扣分。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8.比赛阶段参赛队完成任务后，需保留原始编程指令稿件，以便裁判进行打分。如果没有原始程序，程序优化部分不得分。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9.比赛过程中，参赛队允许携带纸笔完成任务规划设计。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10.本规则的解释权归大赛组委会。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（二）比赛得分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比赛分为现场比赛部分和作品展示部分，得分规则如下：1.现场比赛部分得分规则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b w:val="0"/>
          <w:bCs/>
          <w:color w:val="FF0000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比赛任务由：起点、若干途经点和终点组成；机器人按照抽签结果从起点出发，以正确的顺序经过途径点，最后抵达终点。且每个任务点只能经过一次。机器人完成任务过程中，若经过任务点的顺序与正确的顺序不符合，则算运行错误，且该点（含该点）之后的所有点不再得分。若出现运行错误，可选择手动将机器人放回出错前最后经过的任务点（机器人方向朝上），并判犯规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抽签坐标点为地图上绿色标记点。</w:t>
      </w:r>
    </w:p>
    <w:p>
      <w:pPr>
        <w:jc w:val="center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表2比赛分值及说明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440"/>
        <w:gridCol w:w="5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35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547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任务完成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60分</w:t>
            </w:r>
          </w:p>
        </w:tc>
        <w:tc>
          <w:tcPr>
            <w:tcW w:w="5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以正确的顺序经过除起点外的5个任务点，12分/点。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编程技巧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</w:tc>
        <w:tc>
          <w:tcPr>
            <w:tcW w:w="5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裁判客观记录，按“路线拼接”、“基础函数”（基础编程即是基础函数）、“循环”（重复）、“子函数嵌套”（基础编程上使用打包集成即为子函数嵌套）、和“多重函数嵌套”（多次使用或重复执行打包集成即为多重函数嵌套）编程技巧难度打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程序优化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由裁判客观记录程序中动作指令的数量。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80分</w:t>
            </w:r>
          </w:p>
        </w:tc>
        <w:tc>
          <w:tcPr>
            <w:tcW w:w="5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60" w:firstLineChars="20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2.作品展示部分得分规则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参赛队除了积极准备现场的比赛外，还需进行展示答辩。答辩在比赛阶段完成后进行。只有通过答辩的队伍其比赛成绩方视为有效。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作品展示部分总分20分，具体项目得分详见表3。</w:t>
      </w:r>
    </w:p>
    <w:p>
      <w:pPr>
        <w:jc w:val="center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表3口头答辩展示部分分值表</w:t>
      </w:r>
    </w:p>
    <w:tbl>
      <w:tblPr>
        <w:tblStyle w:val="7"/>
        <w:tblW w:w="74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59"/>
        <w:gridCol w:w="30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4359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3061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4359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团队介绍和主题任务背景介绍</w:t>
            </w:r>
          </w:p>
        </w:tc>
        <w:tc>
          <w:tcPr>
            <w:tcW w:w="3061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0-10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4359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机器人程序展示和设计介绍</w:t>
            </w:r>
          </w:p>
        </w:tc>
        <w:tc>
          <w:tcPr>
            <w:tcW w:w="3061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0-10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4359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3061" w:type="dxa"/>
            <w:vAlign w:val="top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3.违规扣分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当发生如表4所示情形时，扣除相应分数，乃至取消比赛成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绩。</w:t>
      </w:r>
    </w:p>
    <w:p>
      <w:pPr>
        <w:jc w:val="center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表4违规扣分分值表</w:t>
      </w:r>
    </w:p>
    <w:tbl>
      <w:tblPr>
        <w:tblStyle w:val="7"/>
        <w:tblW w:w="763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9"/>
        <w:gridCol w:w="29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473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不能提供（保留）原始程序</w:t>
            </w: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-5分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473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任务完成后，未经裁判允许，触碰机器人或程序指令</w:t>
            </w: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kern w:val="0"/>
                <w:sz w:val="28"/>
                <w:szCs w:val="28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-5分/次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4.比赛总得分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各支队伍的总成绩为现场比赛得分与作品展示得分之和。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总得分相同情况下，使用运动指令的数量越少，排名越前；还无法分出胜负情况下，则以完成任务时间越短，排名越前。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六、比赛报名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参赛选手应于规定时间内根据大赛官方通知进行报名。参赛选手报名基本要求如下：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1、应以团队的形式完成报名，参赛队由2人组成；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2、参赛队中所有参赛选手均应符合对应年级；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3、根据对应组别和级别要求，熟悉实物编程的基础知识和基本操作，能独立完成编程任务，可以对任务进行演示、讲解。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4、实物编程通过指令卡等实物来完成逻辑思维的表达。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七、参赛技术要求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实物编程方式参赛，选手需自备参赛器材。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1.外包装完整，器材外观无明显安全隐患；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2.机器人应含有智能主控、指令卡及配套的任务地图；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3.指令卡符号简单易识易记，要符合学生科学认知。编程的底层逻辑和知识点完整，能够对应主流图形化编程语言或一种代码语言；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4.器材能够按照任务说明要求编程并完整实现任务，且运行流畅、稳定；且不能使用手机、平板电脑、笔记本电脑等屏媒进行编程；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5.器材操作复杂度符合学生水平；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6.实物编程器材通过巡线的方式在任务地图上运行。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八、比赛流程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裁判公证人员抽签决定当天的任务路线。比赛流程具体如下：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一、参赛选手根据队伍抽签顺序进入比赛现场由场地裁判告知任务路线。5分钟准备，5分钟完成任务；场地赛完成后根据指示到答辩区进行答辩。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二、根据主题要求，选手携带作品现场展示，介绍创作思路、讲解故事情节和展示编程内容，每队限时3分钟，结合裁判组提问进行解答。答辩结束后即可离开赛场，比赛结束。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九、其他说明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（一）基本比赛要求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1.组委会工作人员（包括裁判及专家组成员），不得在现场比赛期间参与任何对参赛选手的指导或辅导工作，不得泄露任何有失公允的竞赛信息。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2.参赛选手须提前5分钟入场，按指定位置就座。比赛过程中不得随意走动，不得扰乱比赛秩序。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参赛选手可携带书写工具如钢笔、签字笔、铅笔等，及计时工具手表等进入场地。不得携带软盘、光盘、U盘、硬盘等外接存储设备或介质。在竞技期间不得与其他选手交谈，不得干扰其它选手备赛，不得损坏公用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4.参赛选手在展示和比赛过程中对题目、设备以及编程环境有疑问时，应举手向大赛工作人员提问。选手遇有器材故障，或其他妨碍比赛的情况，应及时举手示意大赛工作人员及时处理。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（二）比赛规则的解释权归大赛组委会。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附件一：计分表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实物编程赛任务场地计分表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参赛人/团队：                  组别：</w:t>
      </w:r>
    </w:p>
    <w:tbl>
      <w:tblPr>
        <w:tblStyle w:val="4"/>
        <w:tblW w:w="881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5"/>
        <w:gridCol w:w="1440"/>
        <w:gridCol w:w="1275"/>
        <w:gridCol w:w="31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945" w:type="dxa"/>
            <w:vMerge w:val="restart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595959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评判项目</w:t>
            </w:r>
          </w:p>
        </w:tc>
        <w:tc>
          <w:tcPr>
            <w:tcW w:w="271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595959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计分表</w:t>
            </w:r>
          </w:p>
        </w:tc>
        <w:tc>
          <w:tcPr>
            <w:tcW w:w="315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000000" w:fill="595959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945" w:type="dxa"/>
            <w:vMerge w:val="continue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315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  <w:lang w:val="en-US" w:eastAsia="zh-CN"/>
              </w:rPr>
              <w:t>比赛</w:t>
            </w: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时间</w:t>
            </w:r>
          </w:p>
        </w:tc>
        <w:tc>
          <w:tcPr>
            <w:tcW w:w="27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记录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  <w:t>任务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完成时间（按秒计）</w:t>
            </w:r>
          </w:p>
        </w:tc>
        <w:tc>
          <w:tcPr>
            <w:tcW w:w="31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任务耗时</w:t>
            </w:r>
          </w:p>
        </w:tc>
        <w:tc>
          <w:tcPr>
            <w:tcW w:w="2715" w:type="dxa"/>
            <w:gridSpan w:val="2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裁判按秒记录完成小组完成时间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编程完成度（</w:t>
            </w: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0分）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单选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任务：</w:t>
            </w: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以正确的顺序经过除起点外的5个任务点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  <w:t>/点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1.参赛队完成任务后，举手示意裁判完成任务</w:t>
            </w:r>
          </w:p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2.由裁判验证是否完成任务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编程技巧（20分）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单选</w:t>
            </w:r>
          </w:p>
        </w:tc>
        <w:tc>
          <w:tcPr>
            <w:tcW w:w="31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使用路线拼接完成任务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restart"/>
            <w:tcBorders>
              <w:top w:val="nil"/>
              <w:left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1.参赛队完成任务后，保留编程拼图，由裁判员根据编程技巧打分</w:t>
            </w:r>
          </w:p>
          <w:p>
            <w:pPr>
              <w:keepNext w:val="0"/>
              <w:keepLines w:val="0"/>
              <w:widowControl/>
              <w:suppressLineNumbers w:val="0"/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2.在比赛时间内，参赛队可多次尝试完成任务，以最高编程技巧得分，记录比赛总分</w:t>
            </w:r>
          </w:p>
          <w:p>
            <w:pPr>
              <w:keepNext w:val="0"/>
              <w:keepLines w:val="0"/>
              <w:widowControl/>
              <w:suppressLineNumbers w:val="0"/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3.比赛中不得出现递归函数（无限循环）</w:t>
            </w:r>
          </w:p>
          <w:p>
            <w:pPr>
              <w:widowControl/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使用基础函数完成任务</w:t>
            </w:r>
          </w:p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（基础编程即是基础函数）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left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使用循环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重复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完成任务或子函数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（基础编程上使用</w:t>
            </w:r>
          </w:p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打包集成即为子函数嵌套）完成任务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15分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left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left"/>
              <w:rPr>
                <w:rFonts w:hint="default" w:ascii="仿宋" w:hAnsi="仿宋" w:eastAsia="仿宋" w:cs="宋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使用循环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重复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和多重子函数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（多次使用或重复执行打包集成即为多重函数嵌套）完成任务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20分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left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程序优化</w:t>
            </w:r>
          </w:p>
        </w:tc>
        <w:tc>
          <w:tcPr>
            <w:tcW w:w="27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任务完成的程序中使用的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  <w:lang w:val="en-US" w:eastAsia="zh-CN"/>
              </w:rPr>
              <w:t>运动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0"/>
                <w:szCs w:val="20"/>
              </w:rPr>
              <w:t>指令块数量（个）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任务消耗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  <w:t>运动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指令块数量</w:t>
            </w:r>
          </w:p>
        </w:tc>
        <w:tc>
          <w:tcPr>
            <w:tcW w:w="2715" w:type="dxa"/>
            <w:gridSpan w:val="2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记录主程序和子程序中所有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指令块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犯规扣分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shd w:val="clear" w:color="000000" w:fill="BEBEBE" w:themeFill="background1" w:themeFillShade="BF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不能提供（保留）原始程序稿件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扣5分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机器人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完成编译启动后，不得再接触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机器人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直到任务完成或者失败</w:t>
            </w:r>
          </w:p>
          <w:p>
            <w:pPr>
              <w:widowControl/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机器人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启动后至任务动作结束前，参赛选手出现接触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机器人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的情况，每次扣5分，接触3次以上含3次扣除总分数不超过15分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犯规1次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扣5分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>
      <w:pPr>
        <w:jc w:val="left"/>
        <w:rPr>
          <w:rFonts w:ascii="仿宋" w:hAnsi="仿宋" w:eastAsia="仿宋" w:cs="楷体_GB2312"/>
          <w:sz w:val="24"/>
        </w:rPr>
      </w:pPr>
    </w:p>
    <w:p>
      <w:pPr>
        <w:jc w:val="left"/>
        <w:rPr>
          <w:rFonts w:ascii="仿宋" w:hAnsi="仿宋" w:eastAsia="仿宋" w:cs="楷体_GB2312"/>
          <w:sz w:val="24"/>
        </w:rPr>
      </w:pPr>
      <w:r>
        <w:rPr>
          <w:rFonts w:hint="eastAsia" w:ascii="仿宋" w:hAnsi="仿宋" w:eastAsia="仿宋" w:cs="楷体_GB2312"/>
          <w:sz w:val="24"/>
        </w:rPr>
        <w:t>裁判员：</w:t>
      </w:r>
      <w:r>
        <w:rPr>
          <w:rFonts w:hint="eastAsia" w:ascii="仿宋" w:hAnsi="仿宋" w:eastAsia="仿宋" w:cs="楷体_GB2312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楷体_GB2312"/>
          <w:sz w:val="24"/>
        </w:rPr>
        <w:t xml:space="preserve">            记分员：</w:t>
      </w:r>
      <w:r>
        <w:rPr>
          <w:rFonts w:hint="eastAsia" w:ascii="仿宋" w:hAnsi="仿宋" w:eastAsia="仿宋" w:cs="楷体_GB2312"/>
          <w:sz w:val="24"/>
          <w:u w:val="single"/>
        </w:rPr>
        <w:t xml:space="preserve">                 </w:t>
      </w:r>
    </w:p>
    <w:p>
      <w:pPr>
        <w:jc w:val="left"/>
        <w:rPr>
          <w:rFonts w:ascii="仿宋" w:hAnsi="仿宋" w:eastAsia="仿宋" w:cs="楷体_GB2312"/>
          <w:sz w:val="24"/>
        </w:rPr>
      </w:pPr>
    </w:p>
    <w:p>
      <w:pPr>
        <w:jc w:val="left"/>
        <w:rPr>
          <w:rFonts w:hint="eastAsia" w:ascii="仿宋" w:hAnsi="仿宋" w:eastAsia="仿宋" w:cs="楷体_GB2312"/>
          <w:sz w:val="24"/>
          <w:u w:val="single"/>
        </w:rPr>
      </w:pPr>
      <w:r>
        <w:rPr>
          <w:rFonts w:hint="eastAsia" w:ascii="仿宋" w:hAnsi="仿宋" w:eastAsia="仿宋" w:cs="楷体_GB2312"/>
          <w:sz w:val="24"/>
        </w:rPr>
        <w:t>裁判长：</w:t>
      </w:r>
      <w:r>
        <w:rPr>
          <w:rFonts w:hint="eastAsia" w:ascii="仿宋" w:hAnsi="仿宋" w:eastAsia="仿宋" w:cs="楷体_GB2312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楷体_GB2312"/>
          <w:sz w:val="24"/>
        </w:rPr>
        <w:t xml:space="preserve">            数据录入：</w:t>
      </w:r>
      <w:r>
        <w:rPr>
          <w:rFonts w:hint="eastAsia" w:ascii="仿宋" w:hAnsi="仿宋" w:eastAsia="仿宋" w:cs="楷体_GB2312"/>
          <w:sz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实物编程赛答辩计分表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color w:val="000000" w:themeColor="text1"/>
          <w:kern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参赛人/团队：                  组别：</w:t>
      </w:r>
    </w:p>
    <w:tbl>
      <w:tblPr>
        <w:tblStyle w:val="4"/>
        <w:tblW w:w="881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5"/>
        <w:gridCol w:w="1440"/>
        <w:gridCol w:w="1275"/>
        <w:gridCol w:w="31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945" w:type="dxa"/>
            <w:vMerge w:val="restart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595959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评判项目</w:t>
            </w:r>
          </w:p>
        </w:tc>
        <w:tc>
          <w:tcPr>
            <w:tcW w:w="271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595959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计分表</w:t>
            </w:r>
          </w:p>
        </w:tc>
        <w:tc>
          <w:tcPr>
            <w:tcW w:w="315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000000" w:fill="595959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945" w:type="dxa"/>
            <w:vMerge w:val="continue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315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FFFF" w:themeColor="background1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机器人程序展示和设计</w:t>
            </w: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主观打分</w:t>
            </w:r>
          </w:p>
        </w:tc>
        <w:tc>
          <w:tcPr>
            <w:tcW w:w="3154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基本介绍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  <w:t>机器人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的路线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0-4分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5"/>
                <w:szCs w:val="15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对任务路径规划和程序设计思路表达的逻辑性、完整性、准确性和连贯性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0-6分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FFFF" w:themeColor="background1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团队介绍和主题任务</w:t>
            </w: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  <w:lang w:val="en-US" w:eastAsia="zh-CN"/>
              </w:rPr>
              <w:t>机器人</w:t>
            </w: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装饰（10</w:t>
            </w: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  <w:lang w:val="en-US" w:eastAsia="zh-CN"/>
              </w:rPr>
              <w:t>分</w:t>
            </w: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FFFF"/>
                <w:kern w:val="0"/>
                <w:sz w:val="20"/>
                <w:szCs w:val="20"/>
              </w:rPr>
              <w:t>主观打分</w:t>
            </w:r>
          </w:p>
        </w:tc>
        <w:tc>
          <w:tcPr>
            <w:tcW w:w="31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000000" w:fill="A5A5A5" w:themeFill="background1" w:themeFillShade="A6"/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  <w:lang w:val="en-US" w:eastAsia="zh-CN"/>
              </w:rPr>
              <w:t>机器人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装饰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0-4分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机器人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装饰需考虑不影响行动的前提下，生动活泼，符合活动主题</w:t>
            </w:r>
          </w:p>
          <w:p>
            <w:pPr>
              <w:widowControl/>
              <w:numPr>
                <w:ilvl w:val="0"/>
                <w:numId w:val="1"/>
              </w:numPr>
              <w:spacing w:before="0" w:after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hint="default" w:ascii="仿宋" w:hAnsi="仿宋" w:eastAsia="仿宋" w:cs="宋体"/>
                <w:b w:val="0"/>
                <w:bCs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团队介绍展示及主题故事描述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0-6分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before="0" w:after="0"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/>
              <w:jc w:val="left"/>
              <w:rPr>
                <w:rFonts w:ascii="仿宋" w:hAnsi="仿宋" w:eastAsia="仿宋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>
      <w:pPr>
        <w:jc w:val="left"/>
        <w:rPr>
          <w:rFonts w:ascii="仿宋" w:hAnsi="仿宋" w:eastAsia="仿宋" w:cs="楷体_GB2312"/>
          <w:sz w:val="24"/>
        </w:rPr>
      </w:pPr>
    </w:p>
    <w:p>
      <w:pPr>
        <w:jc w:val="left"/>
        <w:rPr>
          <w:rFonts w:ascii="仿宋" w:hAnsi="仿宋" w:eastAsia="仿宋" w:cs="楷体_GB2312"/>
          <w:sz w:val="24"/>
        </w:rPr>
      </w:pPr>
      <w:r>
        <w:rPr>
          <w:rFonts w:hint="eastAsia" w:ascii="仿宋" w:hAnsi="仿宋" w:eastAsia="仿宋" w:cs="楷体_GB2312"/>
          <w:sz w:val="24"/>
        </w:rPr>
        <w:t>裁判员：</w:t>
      </w:r>
      <w:r>
        <w:rPr>
          <w:rFonts w:hint="eastAsia" w:ascii="仿宋" w:hAnsi="仿宋" w:eastAsia="仿宋" w:cs="楷体_GB2312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楷体_GB2312"/>
          <w:sz w:val="24"/>
        </w:rPr>
        <w:t xml:space="preserve">            记分员：</w:t>
      </w:r>
      <w:r>
        <w:rPr>
          <w:rFonts w:hint="eastAsia" w:ascii="仿宋" w:hAnsi="仿宋" w:eastAsia="仿宋" w:cs="楷体_GB2312"/>
          <w:sz w:val="24"/>
          <w:u w:val="single"/>
        </w:rPr>
        <w:t xml:space="preserve">                 </w:t>
      </w:r>
    </w:p>
    <w:p>
      <w:pPr>
        <w:jc w:val="left"/>
        <w:rPr>
          <w:rFonts w:ascii="仿宋" w:hAnsi="仿宋" w:eastAsia="仿宋" w:cs="楷体_GB2312"/>
          <w:sz w:val="24"/>
        </w:rPr>
      </w:pPr>
    </w:p>
    <w:p>
      <w:pPr>
        <w:jc w:val="left"/>
      </w:pPr>
      <w:r>
        <w:rPr>
          <w:rFonts w:hint="eastAsia" w:ascii="仿宋" w:hAnsi="仿宋" w:eastAsia="仿宋" w:cs="楷体_GB2312"/>
          <w:sz w:val="24"/>
        </w:rPr>
        <w:t>裁判长：</w:t>
      </w:r>
      <w:r>
        <w:rPr>
          <w:rFonts w:hint="eastAsia" w:ascii="仿宋" w:hAnsi="仿宋" w:eastAsia="仿宋" w:cs="楷体_GB2312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楷体_GB2312"/>
          <w:sz w:val="24"/>
        </w:rPr>
        <w:t xml:space="preserve">            数据录入：</w:t>
      </w:r>
      <w:r>
        <w:rPr>
          <w:rFonts w:hint="eastAsia" w:ascii="仿宋" w:hAnsi="仿宋" w:eastAsia="仿宋" w:cs="楷体_GB2312"/>
          <w:sz w:val="24"/>
          <w:u w:val="single"/>
        </w:rPr>
        <w:t xml:space="preserve">                </w:t>
      </w:r>
    </w:p>
    <w:p>
      <w:pPr>
        <w:jc w:val="left"/>
        <w:rPr>
          <w:rFonts w:hint="eastAsia" w:ascii="仿宋" w:hAnsi="仿宋" w:eastAsia="仿宋" w:cs="楷体_GB2312"/>
          <w:sz w:val="24"/>
          <w:u w:val="singl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Arabic">
    <w:altName w:val="Segoe Print"/>
    <w:panose1 w:val="02040503050201020203"/>
    <w:charset w:val="00"/>
    <w:family w:val="roman"/>
    <w:pitch w:val="default"/>
    <w:sig w:usb0="00000000" w:usb1="00000000" w:usb2="00000008" w:usb3="00000000" w:csb0="2000004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043"/>
      <w:rPr>
        <w:rFonts w:ascii="Times New Roman" w:hAnsi="Times New Roman" w:eastAsia="Times New Roman" w:cs="Times New Roman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A80857"/>
    <w:multiLevelType w:val="singleLevel"/>
    <w:tmpl w:val="38A8085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2NTY2ZTg4YmEwZjMxMDc3MjJkZDA3M2YzZDg0OGYifQ=="/>
  </w:docVars>
  <w:rsids>
    <w:rsidRoot w:val="40CA5998"/>
    <w:rsid w:val="02465EBC"/>
    <w:rsid w:val="133F08A1"/>
    <w:rsid w:val="1A58131B"/>
    <w:rsid w:val="1FA332A1"/>
    <w:rsid w:val="24DA7599"/>
    <w:rsid w:val="32F5400F"/>
    <w:rsid w:val="36814413"/>
    <w:rsid w:val="387E2D8D"/>
    <w:rsid w:val="3C8A4E07"/>
    <w:rsid w:val="3F47037C"/>
    <w:rsid w:val="40CA5998"/>
    <w:rsid w:val="44901E7E"/>
    <w:rsid w:val="4734104C"/>
    <w:rsid w:val="54765C9B"/>
    <w:rsid w:val="56793826"/>
    <w:rsid w:val="6ABA0D38"/>
    <w:rsid w:val="71CF2E43"/>
    <w:rsid w:val="788314CD"/>
    <w:rsid w:val="78AB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dobe Arabic" w:hAnsi="Adobe Arabic" w:eastAsia="宋体" w:cs="Adobe Arabic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3716</Words>
  <Characters>3805</Characters>
  <Lines>0</Lines>
  <Paragraphs>0</Paragraphs>
  <TotalTime>3</TotalTime>
  <ScaleCrop>false</ScaleCrop>
  <LinksUpToDate>false</LinksUpToDate>
  <CharactersWithSpaces>4066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2023-04-11T03:47:00Z</dcterms:created>
  <dc:creator>福建省机器人科教协会</dc:creator>
  <cp:lastModifiedBy>永恒 骑士</cp:lastModifiedBy>
  <dcterms:modified xsi:type="dcterms:W3CDTF">2024-03-12T06:43:51Z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3134D9B4308446288380EE7ECE254705_13</vt:lpwstr>
  </property>
</Properties>
</file>