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pacing w:line="560" w:lineRule="exact"/>
        <w:jc w:val="center"/>
        <w:textAlignment w:val="auto"/>
        <w:rPr>
          <w:rFonts w:hint="eastAsia" w:ascii="方正小标宋简体" w:hAnsi="方正小标宋简体" w:eastAsia="方正小标宋简体" w:cs="方正小标宋简体"/>
          <w:b w:val="0"/>
          <w:bCs/>
          <w:sz w:val="44"/>
          <w:szCs w:val="44"/>
          <w:lang w:eastAsia="zh-CN"/>
        </w:rPr>
      </w:pPr>
      <w:r>
        <w:rPr>
          <w:rFonts w:hint="eastAsia" w:ascii="方正小标宋简体" w:hAnsi="方正小标宋简体" w:eastAsia="方正小标宋简体" w:cs="方正小标宋简体"/>
          <w:b w:val="0"/>
          <w:bCs/>
          <w:sz w:val="44"/>
          <w:szCs w:val="44"/>
        </w:rPr>
        <w:t>202</w:t>
      </w:r>
      <w:r>
        <w:rPr>
          <w:rFonts w:hint="eastAsia" w:ascii="方正小标宋简体" w:hAnsi="方正小标宋简体" w:eastAsia="方正小标宋简体" w:cs="方正小标宋简体"/>
          <w:b w:val="0"/>
          <w:bCs/>
          <w:sz w:val="44"/>
          <w:szCs w:val="44"/>
          <w:lang w:val="en-US" w:eastAsia="zh-CN"/>
        </w:rPr>
        <w:t>4</w:t>
      </w:r>
      <w:r>
        <w:rPr>
          <w:rFonts w:hint="eastAsia" w:ascii="方正小标宋简体" w:hAnsi="方正小标宋简体" w:eastAsia="方正小标宋简体" w:cs="方正小标宋简体"/>
          <w:b w:val="0"/>
          <w:bCs/>
          <w:sz w:val="44"/>
          <w:szCs w:val="44"/>
        </w:rPr>
        <w:t>数字中国创新大赛青少年AI机器人赛道</w:t>
      </w:r>
      <w:r>
        <w:rPr>
          <w:rFonts w:hint="eastAsia" w:ascii="方正小标宋简体" w:hAnsi="方正小标宋简体" w:eastAsia="方正小标宋简体" w:cs="方正小标宋简体"/>
          <w:b w:val="0"/>
          <w:bCs/>
          <w:sz w:val="44"/>
          <w:szCs w:val="44"/>
          <w:lang w:eastAsia="zh-CN"/>
        </w:rPr>
        <w:t>人工智能机器人比赛规则（</w:t>
      </w:r>
      <w:r>
        <w:rPr>
          <w:rFonts w:hint="eastAsia" w:ascii="方正小标宋简体" w:hAnsi="方正小标宋简体" w:eastAsia="方正小标宋简体" w:cs="方正小标宋简体"/>
          <w:b w:val="0"/>
          <w:bCs/>
          <w:sz w:val="44"/>
          <w:szCs w:val="44"/>
          <w:lang w:val="en-US" w:eastAsia="zh-CN"/>
        </w:rPr>
        <w:t>小学</w:t>
      </w:r>
      <w:r>
        <w:rPr>
          <w:rFonts w:hint="eastAsia" w:ascii="方正小标宋简体" w:hAnsi="方正小标宋简体" w:eastAsia="方正小标宋简体" w:cs="方正小标宋简体"/>
          <w:b w:val="0"/>
          <w:bCs/>
          <w:sz w:val="44"/>
          <w:szCs w:val="44"/>
          <w:lang w:eastAsia="zh-CN"/>
        </w:rPr>
        <w:t>组）</w:t>
      </w:r>
    </w:p>
    <w:p>
      <w:pPr>
        <w:keepNext w:val="0"/>
        <w:keepLines w:val="0"/>
        <w:pageBreakBefore w:val="0"/>
        <w:kinsoku/>
        <w:wordWrap/>
        <w:overflowPunct/>
        <w:topLinePunct w:val="0"/>
        <w:autoSpaceDE/>
        <w:autoSpaceDN/>
        <w:bidi w:val="0"/>
        <w:adjustRightInd/>
        <w:spacing w:line="560" w:lineRule="exact"/>
        <w:jc w:val="center"/>
        <w:textAlignment w:val="auto"/>
        <w:rPr>
          <w:rFonts w:hint="eastAsia" w:ascii="方正小标宋简体" w:hAnsi="方正小标宋简体" w:eastAsia="方正小标宋简体" w:cs="方正小标宋简体"/>
          <w:b w:val="0"/>
          <w:bCs/>
          <w:sz w:val="44"/>
          <w:szCs w:val="44"/>
          <w:lang w:eastAsia="zh-CN"/>
        </w:rPr>
      </w:pP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eastAsia" w:ascii="黑体" w:hAnsi="黑体" w:eastAsia="黑体" w:cs="黑体"/>
          <w:b/>
          <w:bCs/>
          <w:color w:val="000000" w:themeColor="text1"/>
          <w:sz w:val="28"/>
          <w:szCs w:val="28"/>
          <w:lang w:val="en-US" w:eastAsia="zh-CN"/>
          <w14:textFill>
            <w14:solidFill>
              <w14:schemeClr w14:val="tx1"/>
            </w14:solidFill>
          </w14:textFill>
        </w:rPr>
      </w:pPr>
      <w:r>
        <w:rPr>
          <w:rFonts w:hint="eastAsia" w:ascii="黑体" w:hAnsi="黑体" w:eastAsia="黑体" w:cs="黑体"/>
          <w:b/>
          <w:bCs/>
          <w:color w:val="000000" w:themeColor="text1"/>
          <w:sz w:val="28"/>
          <w:szCs w:val="28"/>
          <w:lang w:val="en-US" w:eastAsia="zh-CN"/>
          <w14:textFill>
            <w14:solidFill>
              <w14:schemeClr w14:val="tx1"/>
            </w14:solidFill>
          </w14:textFill>
        </w:rPr>
        <w:t>赛项介绍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b/>
          <w:bCs/>
          <w:color w:val="000000" w:themeColor="text1"/>
          <w:kern w:val="0"/>
          <w:sz w:val="22"/>
          <w:szCs w:val="22"/>
          <w:lang w:val="en-US" w:eastAsia="zh-CN"/>
          <w14:textFill>
            <w14:solidFill>
              <w14:schemeClr w14:val="tx1"/>
            </w14:solidFill>
          </w14:textFill>
        </w:rPr>
        <w:t>青少年AI机器人赛道-人工智能机器人比赛（小学组）</w:t>
      </w:r>
      <w:r>
        <w:rPr>
          <w:rFonts w:hint="eastAsia" w:ascii="仿宋" w:hAnsi="仿宋" w:eastAsia="仿宋" w:cs="仿宋"/>
          <w:color w:val="000000" w:themeColor="text1"/>
          <w:kern w:val="0"/>
          <w:sz w:val="22"/>
          <w:szCs w:val="22"/>
          <w:lang w:val="en-US" w:eastAsia="zh-CN"/>
          <w14:textFill>
            <w14:solidFill>
              <w14:schemeClr w14:val="tx1"/>
            </w14:solidFill>
          </w14:textFill>
        </w:rPr>
        <w:t>是面向义务教育小学阶段的在校学生推出的多任务类赛项。该赛项包含自动控制阶段和手动控制阶段，极大地提升了赛项的趣味性和参赛体验，多任务的赛项设计和合作赛制设计，充分锻炼参赛选手的逻辑思考能力和策略规划能力，加强队伍成员间沟通协作的能力。</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黑体" w:hAnsi="黑体" w:eastAsia="黑体" w:cs="黑体"/>
          <w:b/>
          <w:bCs/>
          <w:color w:val="000000" w:themeColor="text1"/>
          <w:sz w:val="28"/>
          <w:szCs w:val="28"/>
          <w:lang w:val="en-US" w:eastAsia="zh-CN"/>
          <w14:textFill>
            <w14:solidFill>
              <w14:schemeClr w14:val="tx1"/>
            </w14:solidFill>
          </w14:textFill>
        </w:rPr>
      </w:pPr>
      <w:r>
        <w:rPr>
          <w:rFonts w:hint="eastAsia" w:ascii="黑体" w:hAnsi="黑体" w:eastAsia="黑体" w:cs="黑体"/>
          <w:b/>
          <w:bCs/>
          <w:color w:val="000000" w:themeColor="text1"/>
          <w:sz w:val="28"/>
          <w:szCs w:val="28"/>
          <w:lang w:val="en-US" w:eastAsia="zh-CN"/>
          <w14:textFill>
            <w14:solidFill>
              <w14:schemeClr w14:val="tx1"/>
            </w14:solidFill>
          </w14:textFill>
        </w:rPr>
        <w:t>参赛要求</w:t>
      </w:r>
    </w:p>
    <w:p>
      <w:pPr>
        <w:keepNext w:val="0"/>
        <w:keepLines w:val="0"/>
        <w:pageBreakBefore w:val="0"/>
        <w:widowControl/>
        <w:numPr>
          <w:ilvl w:val="-1"/>
          <w:numId w:val="0"/>
        </w:numPr>
        <w:kinsoku/>
        <w:wordWrap/>
        <w:overflowPunct/>
        <w:topLinePunct w:val="0"/>
        <w:autoSpaceDE/>
        <w:autoSpaceDN/>
        <w:bidi w:val="0"/>
        <w:adjustRightInd/>
        <w:snapToGrid/>
        <w:spacing w:line="560" w:lineRule="exact"/>
        <w:ind w:leftChars="0"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人数要求：</w:t>
      </w:r>
      <w:r>
        <w:rPr>
          <w:rFonts w:hint="eastAsia" w:ascii="仿宋" w:hAnsi="仿宋" w:eastAsia="仿宋" w:cs="仿宋"/>
          <w:b w:val="0"/>
          <w:bCs w:val="0"/>
          <w:color w:val="000000" w:themeColor="text1"/>
          <w:kern w:val="0"/>
          <w:sz w:val="22"/>
          <w:szCs w:val="22"/>
          <w:lang w:val="en-US" w:eastAsia="zh-CN"/>
          <w14:textFill>
            <w14:solidFill>
              <w14:schemeClr w14:val="tx1"/>
            </w14:solidFill>
          </w14:textFill>
        </w:rPr>
        <w:t>人工智能机器人比赛</w:t>
      </w:r>
      <w:r>
        <w:rPr>
          <w:rFonts w:hint="eastAsia" w:ascii="仿宋" w:hAnsi="仿宋" w:eastAsia="仿宋" w:cs="仿宋"/>
          <w:b w:val="0"/>
          <w:bCs w:val="0"/>
          <w:color w:val="000000" w:themeColor="text1"/>
          <w:kern w:val="0"/>
          <w:sz w:val="22"/>
          <w:szCs w:val="22"/>
          <w14:textFill>
            <w14:solidFill>
              <w14:schemeClr w14:val="tx1"/>
            </w14:solidFill>
          </w14:textFill>
        </w:rPr>
        <w:t>以</w:t>
      </w:r>
      <w:r>
        <w:rPr>
          <w:rFonts w:hint="eastAsia" w:ascii="仿宋" w:hAnsi="仿宋" w:eastAsia="仿宋" w:cs="仿宋"/>
          <w:b w:val="0"/>
          <w:bCs w:val="0"/>
          <w:color w:val="000000" w:themeColor="text1"/>
          <w:kern w:val="0"/>
          <w:sz w:val="22"/>
          <w:szCs w:val="22"/>
          <w:lang w:val="en-US" w:eastAsia="zh-CN"/>
          <w14:textFill>
            <w14:solidFill>
              <w14:schemeClr w14:val="tx1"/>
            </w14:solidFill>
          </w14:textFill>
        </w:rPr>
        <w:t>战队</w:t>
      </w:r>
      <w:r>
        <w:rPr>
          <w:rFonts w:hint="eastAsia" w:ascii="仿宋" w:hAnsi="仿宋" w:eastAsia="仿宋" w:cs="仿宋"/>
          <w:b w:val="0"/>
          <w:bCs w:val="0"/>
          <w:color w:val="000000" w:themeColor="text1"/>
          <w:kern w:val="0"/>
          <w:sz w:val="22"/>
          <w:szCs w:val="22"/>
          <w14:textFill>
            <w14:solidFill>
              <w14:schemeClr w14:val="tx1"/>
            </w14:solidFill>
          </w14:textFill>
        </w:rPr>
        <w:t>形式参赛</w:t>
      </w:r>
      <w:r>
        <w:rPr>
          <w:rFonts w:hint="eastAsia" w:ascii="仿宋" w:hAnsi="仿宋" w:eastAsia="仿宋" w:cs="仿宋"/>
          <w:color w:val="000000" w:themeColor="text1"/>
          <w:kern w:val="0"/>
          <w:sz w:val="22"/>
          <w:szCs w:val="22"/>
          <w:lang w:val="en-US" w:eastAsia="zh-CN"/>
          <w14:textFill>
            <w14:solidFill>
              <w14:schemeClr w14:val="tx1"/>
            </w14:solidFill>
          </w14:textFill>
        </w:rPr>
        <w:t>，</w:t>
      </w:r>
      <w:r>
        <w:rPr>
          <w:rFonts w:hint="eastAsia" w:ascii="仿宋" w:hAnsi="仿宋" w:eastAsia="仿宋" w:cs="仿宋"/>
          <w:color w:val="000000" w:themeColor="text1"/>
          <w:kern w:val="0"/>
          <w:sz w:val="22"/>
          <w:szCs w:val="22"/>
          <w14:textFill>
            <w14:solidFill>
              <w14:schemeClr w14:val="tx1"/>
            </w14:solidFill>
          </w14:textFill>
        </w:rPr>
        <w:t>每支队伍由</w:t>
      </w:r>
      <w:r>
        <w:rPr>
          <w:rFonts w:hint="eastAsia" w:ascii="仿宋" w:hAnsi="仿宋" w:eastAsia="仿宋" w:cs="仿宋"/>
          <w:color w:val="000000" w:themeColor="text1"/>
          <w:kern w:val="0"/>
          <w:sz w:val="22"/>
          <w:szCs w:val="22"/>
          <w:lang w:val="en-US" w:eastAsia="zh-CN"/>
          <w14:textFill>
            <w14:solidFill>
              <w14:schemeClr w14:val="tx1"/>
            </w14:solidFill>
          </w14:textFill>
        </w:rPr>
        <w:t>3</w:t>
      </w:r>
      <w:r>
        <w:rPr>
          <w:rFonts w:hint="eastAsia" w:ascii="仿宋" w:hAnsi="仿宋" w:eastAsia="仿宋" w:cs="仿宋"/>
          <w:color w:val="000000" w:themeColor="text1"/>
          <w:kern w:val="0"/>
          <w:sz w:val="22"/>
          <w:szCs w:val="22"/>
          <w14:textFill>
            <w14:solidFill>
              <w14:schemeClr w14:val="tx1"/>
            </w14:solidFill>
          </w14:textFill>
        </w:rPr>
        <w:t>名队员和1名指导教师组成。</w:t>
      </w:r>
      <w:r>
        <w:rPr>
          <w:rFonts w:hint="eastAsia" w:ascii="仿宋" w:hAnsi="仿宋" w:eastAsia="仿宋" w:cs="仿宋"/>
          <w:color w:val="000000" w:themeColor="text1"/>
          <w:kern w:val="0"/>
          <w:sz w:val="22"/>
          <w:szCs w:val="22"/>
          <w:lang w:val="en-US" w:eastAsia="zh-CN"/>
          <w14:textFill>
            <w14:solidFill>
              <w14:schemeClr w14:val="tx1"/>
            </w14:solidFill>
          </w14:textFill>
        </w:rPr>
        <w:t>使用两台机器人分为红蓝方完成比赛。</w:t>
      </w:r>
      <w:r>
        <w:rPr>
          <w:rFonts w:hint="eastAsia" w:ascii="仿宋" w:hAnsi="仿宋" w:eastAsia="仿宋" w:cs="仿宋"/>
          <w:color w:val="000000" w:themeColor="text1"/>
          <w:kern w:val="0"/>
          <w:sz w:val="22"/>
          <w:szCs w:val="22"/>
          <w14:textFill>
            <w14:solidFill>
              <w14:schemeClr w14:val="tx1"/>
            </w14:solidFill>
          </w14:textFill>
        </w:rPr>
        <w:t>参赛</w:t>
      </w:r>
      <w:r>
        <w:rPr>
          <w:rFonts w:hint="eastAsia" w:ascii="仿宋" w:hAnsi="仿宋" w:eastAsia="仿宋" w:cs="仿宋"/>
          <w:color w:val="000000" w:themeColor="text1"/>
          <w:kern w:val="0"/>
          <w:sz w:val="22"/>
          <w:szCs w:val="22"/>
          <w:lang w:val="en-US" w:eastAsia="zh-CN"/>
          <w14:textFill>
            <w14:solidFill>
              <w14:schemeClr w14:val="tx1"/>
            </w14:solidFill>
          </w14:textFill>
        </w:rPr>
        <w:t>队伍</w:t>
      </w:r>
      <w:r>
        <w:rPr>
          <w:rFonts w:hint="eastAsia" w:ascii="仿宋" w:hAnsi="仿宋" w:eastAsia="仿宋" w:cs="仿宋"/>
          <w:color w:val="000000" w:themeColor="text1"/>
          <w:kern w:val="0"/>
          <w:sz w:val="22"/>
          <w:szCs w:val="22"/>
          <w14:textFill>
            <w14:solidFill>
              <w14:schemeClr w14:val="tx1"/>
            </w14:solidFill>
          </w14:textFill>
        </w:rPr>
        <w:t>应由同一学校师生组成。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年龄要求：</w:t>
      </w:r>
      <w:r>
        <w:rPr>
          <w:rFonts w:hint="eastAsia" w:ascii="仿宋" w:hAnsi="仿宋" w:eastAsia="仿宋" w:cs="仿宋"/>
          <w:b w:val="0"/>
          <w:color w:val="000000" w:themeColor="text1"/>
          <w:kern w:val="0"/>
          <w:sz w:val="22"/>
          <w:szCs w:val="24"/>
          <w:lang w:val="en-US" w:eastAsia="zh-CN" w:bidi="ar-SA"/>
          <w14:textFill>
            <w14:solidFill>
              <w14:schemeClr w14:val="tx1"/>
            </w14:solidFill>
          </w14:textFill>
        </w:rPr>
        <w:t>参赛对象为福建省普通小学2024年7月前在校学生。</w:t>
      </w:r>
      <w:r>
        <w:rPr>
          <w:rFonts w:hint="eastAsia" w:ascii="仿宋" w:hAnsi="仿宋" w:eastAsia="仿宋" w:cs="仿宋"/>
          <w:color w:val="000000" w:themeColor="text1"/>
          <w:kern w:val="0"/>
          <w:sz w:val="22"/>
          <w:szCs w:val="22"/>
          <w:lang w:val="en-US" w:eastAsia="zh-CN"/>
          <w14:textFill>
            <w14:solidFill>
              <w14:schemeClr w14:val="tx1"/>
            </w14:solidFill>
          </w14:textFill>
        </w:rPr>
        <w:t>指导老师必须年满18周岁。</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黑体" w:hAnsi="黑体" w:eastAsia="黑体" w:cs="黑体"/>
          <w:b/>
          <w:bCs/>
          <w:color w:val="000000" w:themeColor="text1"/>
          <w:sz w:val="28"/>
          <w:szCs w:val="28"/>
          <w:lang w:val="en-US" w:eastAsia="zh-CN"/>
          <w14:textFill>
            <w14:solidFill>
              <w14:schemeClr w14:val="tx1"/>
            </w14:solidFill>
          </w14:textFill>
        </w:rPr>
      </w:pPr>
      <w:r>
        <w:rPr>
          <w:rFonts w:hint="eastAsia" w:ascii="黑体" w:hAnsi="黑体" w:eastAsia="黑体" w:cs="黑体"/>
          <w:b/>
          <w:bCs/>
          <w:color w:val="000000" w:themeColor="text1"/>
          <w:sz w:val="28"/>
          <w:szCs w:val="28"/>
          <w:lang w:val="en-US" w:eastAsia="zh-CN"/>
          <w14:textFill>
            <w14:solidFill>
              <w14:schemeClr w14:val="tx1"/>
            </w14:solidFill>
          </w14:textFill>
        </w:rPr>
        <w:t>赛程赛制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28"/>
          <w:szCs w:val="28"/>
          <w:lang w:val="en-US" w:eastAsia="zh-CN"/>
          <w14:textFill>
            <w14:solidFill>
              <w14:schemeClr w14:val="tx1"/>
            </w14:solidFill>
          </w14:textFill>
        </w:rPr>
        <w:t xml:space="preserve"> </w:t>
      </w:r>
      <w:r>
        <w:rPr>
          <w:rFonts w:hint="eastAsia" w:ascii="黑体" w:hAnsi="黑体" w:eastAsia="黑体" w:cs="黑体"/>
          <w:b/>
          <w:bCs/>
          <w:color w:val="000000" w:themeColor="text1"/>
          <w:sz w:val="24"/>
          <w:szCs w:val="24"/>
          <w:lang w:val="en-US" w:eastAsia="zh-CN"/>
          <w14:textFill>
            <w14:solidFill>
              <w14:schemeClr w14:val="tx1"/>
            </w14:solidFill>
          </w14:textFill>
        </w:rPr>
        <w:t xml:space="preserve">   3.1机器人检录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 xml:space="preserve"> </w:t>
      </w:r>
      <w:r>
        <w:rPr>
          <w:rFonts w:hint="eastAsia" w:ascii="仿宋" w:hAnsi="仿宋" w:eastAsia="仿宋" w:cs="仿宋"/>
          <w:color w:val="000000" w:themeColor="text1"/>
          <w:kern w:val="0"/>
          <w:sz w:val="22"/>
          <w:szCs w:val="22"/>
          <w:lang w:val="en-US" w:eastAsia="zh-CN"/>
          <w14:textFill>
            <w14:solidFill>
              <w14:schemeClr w14:val="tx1"/>
            </w14:solidFill>
          </w14:textFill>
        </w:rPr>
        <w:t>检录员将严格按照检录要求对参赛战队的机器人进行安全检查。正式比赛前会对机器人进行赛前检录。未通过检录的机器人需重新调整后再次检录直至检录通过，机器人检录未通过的战队不得参加比赛。机器人检录环节还将对战队标记物进行检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黑体" w:hAnsi="黑体" w:eastAsia="黑体" w:cs="黑体"/>
          <w:b/>
          <w:bCs/>
          <w:color w:val="000000" w:themeColor="text1"/>
          <w:sz w:val="24"/>
          <w:szCs w:val="24"/>
          <w:lang w:val="en-US" w:eastAsia="zh-CN"/>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3.2赛程公布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jc w:val="both"/>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组委会将在比赛开始前至少30分钟，通过线上或线下渠道进行赛程公布（包含对阵表、比赛场次及时间）。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jc w:val="both"/>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每个队伍将进行两场资格排位赛。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资格排位赛完成后，按以下规则决出排名高低：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(1)依据队伍所有资格排位赛所有场次得分之和进行排序，资格排位赛总得分高的队伍排名靠前；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(2)若上述条件相同，则资格排位赛总用时较短的排名靠前；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(3)若所有资格赛得分之和、比赛总时长全部相同，排名相同的队伍将单独进行加赛(仅做自动独立任务)直至决出胜负。</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黑体" w:hAnsi="黑体" w:eastAsia="黑体" w:cs="黑体"/>
          <w:b/>
          <w:bCs/>
          <w:color w:val="000000" w:themeColor="text1"/>
          <w:sz w:val="28"/>
          <w:szCs w:val="28"/>
          <w:lang w:val="en-US" w:eastAsia="zh-CN"/>
          <w14:textFill>
            <w14:solidFill>
              <w14:schemeClr w14:val="tx1"/>
            </w14:solidFill>
          </w14:textFill>
        </w:rPr>
      </w:pPr>
      <w:r>
        <w:rPr>
          <w:rFonts w:hint="eastAsia" w:ascii="黑体" w:hAnsi="黑体" w:eastAsia="黑体" w:cs="黑体"/>
          <w:b/>
          <w:bCs/>
          <w:color w:val="000000" w:themeColor="text1"/>
          <w:sz w:val="28"/>
          <w:szCs w:val="28"/>
          <w:lang w:val="en-US" w:eastAsia="zh-CN"/>
          <w14:textFill>
            <w14:solidFill>
              <w14:schemeClr w14:val="tx1"/>
            </w14:solidFill>
          </w14:textFill>
        </w:rPr>
        <w:t>比赛内容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黑体" w:hAnsi="黑体" w:eastAsia="黑体" w:cs="黑体"/>
          <w:b/>
          <w:bCs/>
          <w:color w:val="000000" w:themeColor="text1"/>
          <w:sz w:val="24"/>
          <w:szCs w:val="24"/>
          <w:lang w:val="en-US" w:eastAsia="zh-CN"/>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4.1比赛主题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2024赛季的比赛主题为《全芯征途》。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传统制造业耗费大量人力物力，造成众多废弃物排放，甚至导致污染环境。搭载先进技术的芯片是制造业变革的技术主导，将极大地提升制造效率、降低制造成本，提升制造的智能化、便利化，少年们敏锐洞察到智能制造的先机和改良，决心探芯寻宝，共赴全芯征途，为未来的智能制造贡献芯力量，促进智能制造行业的可持续发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000000" w:themeColor="text1"/>
          <w:sz w:val="24"/>
          <w:szCs w:val="24"/>
          <w:lang w:val="en-US" w:eastAsia="zh-CN"/>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4.2玩法简介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青少年AI机器人赛道-人工智能机器人比赛（小学组）为多任务类赛项，比赛由队伍中的红蓝双方选手合作完成。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比赛总时长为4分钟，由自动控制阶段和手动控制阶段两部分组成，各阶段时长由队伍选手协商决定。比赛共有2个计分时刻。战队需要在自动控制阶段完成自动任务，队伍队员均同意由自动控制阶段向手动控制阶段切换后，裁判将暂停计时，进入到自动控制阶段的计分时刻，计分结束后，开始手动控制阶段，阶段切换后，在手动控制阶段完成手动任务。全场比赛结束后，进入手动控制阶段的计分时刻，裁判根据计分时刻时各道具的最终状态计算双方各项任务得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黑体" w:hAnsi="黑体" w:eastAsia="黑体" w:cs="黑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ascii="黑体" w:hAnsi="黑体" w:eastAsia="黑体" w:cs="黑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ascii="黑体" w:hAnsi="黑体" w:eastAsia="黑体" w:cs="黑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ascii="黑体" w:hAnsi="黑体" w:eastAsia="黑体" w:cs="黑体"/>
          <w:color w:val="000000" w:themeColor="text1"/>
          <w:sz w:val="21"/>
          <w:szCs w:val="21"/>
          <w:lang w:val="en-US" w:eastAsia="zh-CN"/>
          <w14:textFill>
            <w14:solidFill>
              <w14:schemeClr w14:val="tx1"/>
            </w14:solidFill>
          </w14:textFill>
        </w:rPr>
      </w:pPr>
      <w:r>
        <w:drawing>
          <wp:inline distT="0" distB="0" distL="114300" distR="114300">
            <wp:extent cx="3517265" cy="2538095"/>
            <wp:effectExtent l="0" t="0" r="0" b="0"/>
            <wp:docPr id="4" name="Draw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1"/>
                    <pic:cNvPicPr>
                      <a:picLocks noChangeAspect="1"/>
                    </pic:cNvPicPr>
                  </pic:nvPicPr>
                  <pic:blipFill>
                    <a:blip r:embed="rId5" cstate="print">
                      <a:extLst>
                        <a:ext uri="{28A0092B-C50C-407E-A947-70E740481C1C}">
                          <a14:useLocalDpi xmlns:a14="http://schemas.microsoft.com/office/drawing/2010/main" val="0"/>
                        </a:ext>
                      </a:extLst>
                    </a:blip>
                    <a:srcRect l="10780" t="11711" r="10966" b="11639"/>
                    <a:stretch>
                      <a:fillRect/>
                    </a:stretch>
                  </pic:blipFill>
                  <pic:spPr>
                    <a:xfrm>
                      <a:off x="0" y="0"/>
                      <a:ext cx="3517265" cy="2538095"/>
                    </a:xfrm>
                    <a:prstGeom prst="rect">
                      <a:avLst/>
                    </a:prstGeom>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黑体" w:hAnsi="黑体" w:eastAsia="黑体" w:cs="黑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黑体" w:hAnsi="黑体" w:eastAsia="黑体" w:cs="黑体"/>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比赛场地轴侧图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000000" w:themeColor="text1"/>
          <w:sz w:val="24"/>
          <w:szCs w:val="24"/>
          <w:lang w:val="en-US" w:eastAsia="zh-CN"/>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4.3场地说明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比赛场地由地图和边框组成。场地边框内尺寸为2317mm*2317mm,场地外边框尺寸为 2372mm*2372mm。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比赛地图分为自动任务区和手动任务区两个部分，主要包括启动区、密码填充区、标记区、手动装载区等区域。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ascii="黑体" w:hAnsi="黑体" w:eastAsia="黑体" w:cs="黑体"/>
          <w:color w:val="000000" w:themeColor="text1"/>
          <w:sz w:val="21"/>
          <w:szCs w:val="21"/>
          <w:lang w:val="en-US" w:eastAsia="zh-CN"/>
          <w14:textFill>
            <w14:solidFill>
              <w14:schemeClr w14:val="tx1"/>
            </w14:solidFill>
          </w14:textFill>
        </w:rPr>
      </w:pPr>
      <w:r>
        <w:rPr>
          <w:color w:val="auto"/>
        </w:rPr>
        <w:drawing>
          <wp:inline distT="0" distB="0" distL="114300" distR="114300">
            <wp:extent cx="2992120" cy="2896870"/>
            <wp:effectExtent l="0" t="0" r="0" b="0"/>
            <wp:docPr id="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92120" cy="289687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场地区域划分示意图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sz w:val="22"/>
          <w:szCs w:val="22"/>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以下为主要区域说明：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default" w:ascii="黑体" w:hAnsi="黑体" w:eastAsia="黑体" w:cs="黑体"/>
          <w:b/>
          <w:bCs/>
          <w:color w:val="000000" w:themeColor="text1"/>
          <w:sz w:val="21"/>
          <w:szCs w:val="21"/>
          <w:lang w:val="en-US" w:eastAsia="zh-CN"/>
          <w14:textFill>
            <w14:solidFill>
              <w14:schemeClr w14:val="tx1"/>
            </w14:solidFill>
          </w14:textFill>
        </w:rPr>
      </w:pPr>
      <w:r>
        <w:rPr>
          <w:rFonts w:hint="eastAsia" w:ascii="黑体" w:hAnsi="黑体" w:eastAsia="黑体" w:cs="黑体"/>
          <w:b/>
          <w:bCs/>
          <w:color w:val="000000" w:themeColor="text1"/>
          <w:sz w:val="21"/>
          <w:szCs w:val="21"/>
          <w:lang w:val="en-US" w:eastAsia="zh-CN"/>
          <w14:textFill>
            <w14:solidFill>
              <w14:schemeClr w14:val="tx1"/>
            </w14:solidFill>
          </w14:textFill>
        </w:rPr>
        <w:t>4.3.1 启动区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自动任务区内各有红蓝启动区一个，为边长 280mm 的正方形。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319905" cy="1873885"/>
            <wp:effectExtent l="0" t="0" r="8255" b="63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7"/>
                    <a:stretch>
                      <a:fillRect/>
                    </a:stretch>
                  </pic:blipFill>
                  <pic:spPr>
                    <a:xfrm>
                      <a:off x="0" y="0"/>
                      <a:ext cx="4319905" cy="187388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自动任务区启动区示意图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ascii="黑体" w:hAnsi="黑体" w:eastAsia="黑体" w:cs="黑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手动任务区内各有红蓝启动区一个，为边长280mm的正方形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黑体" w:hAnsi="黑体" w:eastAsia="黑体" w:cs="黑体"/>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4319905" cy="1873885"/>
            <wp:effectExtent l="0" t="0" r="8255" b="635"/>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7"/>
                    <a:stretch>
                      <a:fillRect/>
                    </a:stretch>
                  </pic:blipFill>
                  <pic:spPr>
                    <a:xfrm>
                      <a:off x="0" y="0"/>
                      <a:ext cx="4319905" cy="187388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手动任务启动区示意图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eastAsia" w:ascii="黑体" w:hAnsi="黑体" w:eastAsia="黑体" w:cs="黑体"/>
          <w:b/>
          <w:bCs/>
          <w:color w:val="000000" w:themeColor="text1"/>
          <w:sz w:val="21"/>
          <w:szCs w:val="21"/>
          <w:lang w:val="en-US" w:eastAsia="zh-CN"/>
          <w14:textFill>
            <w14:solidFill>
              <w14:schemeClr w14:val="tx1"/>
            </w14:solidFill>
          </w14:textFill>
        </w:rPr>
      </w:pPr>
      <w:r>
        <w:rPr>
          <w:rFonts w:hint="eastAsia" w:ascii="黑体" w:hAnsi="黑体" w:eastAsia="黑体" w:cs="黑体"/>
          <w:b/>
          <w:bCs/>
          <w:color w:val="000000" w:themeColor="text1"/>
          <w:sz w:val="21"/>
          <w:szCs w:val="21"/>
          <w:lang w:val="en-US" w:eastAsia="zh-CN"/>
          <w14:textFill>
            <w14:solidFill>
              <w14:schemeClr w14:val="tx1"/>
            </w14:solidFill>
          </w14:textFill>
        </w:rPr>
        <w:t>4.3.2 密码填充区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密码填充区为图示区域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尺寸：130mm*93mm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位置：自动任务区中央区域T字路口旁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数量：红蓝方各一个</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4392930" cy="857250"/>
            <wp:effectExtent l="0" t="0" r="11430" b="1143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392930" cy="8572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default" w:ascii="黑体" w:hAnsi="黑体" w:eastAsia="黑体" w:cs="黑体"/>
          <w:b/>
          <w:bCs/>
          <w:color w:val="000000" w:themeColor="text1"/>
          <w:sz w:val="21"/>
          <w:szCs w:val="21"/>
          <w:lang w:val="en-US" w:eastAsia="zh-CN"/>
          <w14:textFill>
            <w14:solidFill>
              <w14:schemeClr w14:val="tx1"/>
            </w14:solidFill>
          </w14:textFill>
        </w:rPr>
      </w:pPr>
      <w:r>
        <w:rPr>
          <w:rFonts w:hint="eastAsia" w:ascii="黑体" w:hAnsi="黑体" w:eastAsia="黑体" w:cs="黑体"/>
          <w:b/>
          <w:bCs/>
          <w:color w:val="000000" w:themeColor="text1"/>
          <w:sz w:val="21"/>
          <w:szCs w:val="21"/>
          <w:lang w:val="en-US" w:eastAsia="zh-CN"/>
          <w14:textFill>
            <w14:solidFill>
              <w14:schemeClr w14:val="tx1"/>
            </w14:solidFill>
          </w14:textFill>
        </w:rPr>
        <w:t>4.3.3 手动装载区</w:t>
      </w:r>
      <w:r>
        <w:rPr>
          <w:rFonts w:hint="default" w:ascii="黑体" w:hAnsi="黑体" w:eastAsia="黑体" w:cs="黑体"/>
          <w:b/>
          <w:bCs/>
          <w:color w:val="000000" w:themeColor="text1"/>
          <w:sz w:val="21"/>
          <w:szCs w:val="21"/>
          <w:lang w:val="en-US" w:eastAsia="zh-CN"/>
          <w14:textFill>
            <w14:solidFill>
              <w14:schemeClr w14:val="tx1"/>
            </w14:solidFill>
          </w14:textFill>
        </w:rPr>
        <w:t>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手动装载区为图示绿色区域。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尺寸：长550mm*宽200mm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位置：手动任务区一侧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数量：一个</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ascii="黑体" w:hAnsi="黑体" w:eastAsia="黑体" w:cs="黑体"/>
          <w:color w:val="000000" w:themeColor="text1"/>
          <w:sz w:val="21"/>
          <w:szCs w:val="21"/>
          <w:lang w:val="en-US" w:eastAsia="zh-CN"/>
          <w14:textFill>
            <w14:solidFill>
              <w14:schemeClr w14:val="tx1"/>
            </w14:solidFill>
          </w14:textFill>
        </w:rPr>
      </w:pPr>
      <w:r>
        <w:drawing>
          <wp:inline distT="0" distB="0" distL="114300" distR="114300">
            <wp:extent cx="2990850" cy="982980"/>
            <wp:effectExtent l="0" t="0" r="1143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990850" cy="98298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手动装载区示意图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黑体" w:hAnsi="黑体" w:eastAsia="黑体" w:cs="黑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default" w:ascii="黑体" w:hAnsi="黑体" w:eastAsia="黑体" w:cs="黑体"/>
          <w:b/>
          <w:bCs/>
          <w:color w:val="000000" w:themeColor="text1"/>
          <w:sz w:val="21"/>
          <w:szCs w:val="21"/>
          <w:lang w:val="en-US" w:eastAsia="zh-CN"/>
          <w14:textFill>
            <w14:solidFill>
              <w14:schemeClr w14:val="tx1"/>
            </w14:solidFill>
          </w14:textFill>
        </w:rPr>
      </w:pPr>
      <w:r>
        <w:rPr>
          <w:rFonts w:hint="eastAsia" w:ascii="黑体" w:hAnsi="黑体" w:eastAsia="黑体" w:cs="黑体"/>
          <w:b/>
          <w:bCs/>
          <w:color w:val="000000" w:themeColor="text1"/>
          <w:sz w:val="21"/>
          <w:szCs w:val="21"/>
          <w:lang w:val="en-US" w:eastAsia="zh-CN"/>
          <w14:textFill>
            <w14:solidFill>
              <w14:schemeClr w14:val="tx1"/>
            </w14:solidFill>
          </w14:textFill>
        </w:rPr>
        <w:t>4.3.4 标记区</w:t>
      </w:r>
      <w:r>
        <w:rPr>
          <w:rFonts w:hint="default" w:ascii="黑体" w:hAnsi="黑体" w:eastAsia="黑体" w:cs="黑体"/>
          <w:b/>
          <w:bCs/>
          <w:color w:val="000000" w:themeColor="text1"/>
          <w:sz w:val="21"/>
          <w:szCs w:val="21"/>
          <w:lang w:val="en-US" w:eastAsia="zh-CN"/>
          <w14:textFill>
            <w14:solidFill>
              <w14:schemeClr w14:val="tx1"/>
            </w14:solidFill>
          </w14:textFill>
        </w:rPr>
        <w:t>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战队标记区为图示圆形区域。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尺寸∶直径60mm圆形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位置∶手动任务区矩阵研究站两侧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数量∶红蓝方各一个</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黑体" w:hAnsi="黑体" w:eastAsia="黑体" w:cs="黑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color w:val="000000" w:themeColor="text1"/>
          <w14:textFill>
            <w14:solidFill>
              <w14:schemeClr w14:val="tx1"/>
            </w14:solidFill>
          </w14:textFill>
        </w:rPr>
      </w:pPr>
      <w:r>
        <w:drawing>
          <wp:inline distT="0" distB="0" distL="114300" distR="114300">
            <wp:extent cx="2447925" cy="1969770"/>
            <wp:effectExtent l="0" t="0" r="5715" b="1143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447925" cy="1969770"/>
                    </a:xfrm>
                    <a:prstGeom prst="rect">
                      <a:avLst/>
                    </a:prstGeom>
                  </pic:spPr>
                </pic:pic>
              </a:graphicData>
            </a:graphic>
          </wp:inline>
        </w:drawing>
      </w:r>
      <w:r>
        <w:rPr>
          <w:rFonts w:hint="default" w:ascii="黑体" w:hAnsi="黑体" w:eastAsia="黑体" w:cs="黑体"/>
          <w:color w:val="000000" w:themeColor="text1"/>
          <w:sz w:val="21"/>
          <w:szCs w:val="21"/>
          <w:lang w:val="en-US" w:eastAsia="zh-CN"/>
          <w14:textFill>
            <w14:solidFill>
              <w14:schemeClr w14:val="tx1"/>
            </w14:solidFill>
          </w14:textFill>
        </w:rPr>
        <w:t>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color w:val="000000" w:themeColor="text1"/>
          <w:kern w:val="0"/>
          <w:sz w:val="22"/>
          <w:szCs w:val="22"/>
          <w:lang w:val="en-US" w:eastAsia="zh-CN"/>
          <w14:textFill>
            <w14:solidFill>
              <w14:schemeClr w14:val="tx1"/>
            </w14:solidFill>
          </w14:textFill>
        </w:rPr>
      </w:pPr>
      <w:r>
        <w:rPr>
          <w:rFonts w:hint="eastAsia" w:ascii="仿宋" w:hAnsi="仿宋" w:eastAsia="仿宋" w:cs="仿宋"/>
          <w:b w:val="0"/>
          <w:bCs w:val="0"/>
          <w:color w:val="000000" w:themeColor="text1"/>
          <w:kern w:val="0"/>
          <w:sz w:val="22"/>
          <w:szCs w:val="22"/>
          <w:lang w:val="en-US" w:eastAsia="zh-CN"/>
          <w14:textFill>
            <w14:solidFill>
              <w14:schemeClr w14:val="tx1"/>
            </w14:solidFill>
          </w14:textFill>
        </w:rPr>
        <w:t>标记区示意图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color w:val="000000" w:themeColor="text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黑体" w:hAnsi="黑体" w:eastAsia="黑体" w:cs="黑体"/>
          <w:b/>
          <w:bCs/>
          <w:color w:val="000000" w:themeColor="text1"/>
          <w:sz w:val="24"/>
          <w:szCs w:val="24"/>
          <w:lang w:val="en-US" w:eastAsia="zh-CN"/>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4.4道具清单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黑体" w:hAnsi="黑体" w:eastAsia="黑体" w:cs="黑体"/>
          <w:b/>
          <w:bCs/>
          <w:color w:val="000000" w:themeColor="text1"/>
          <w:sz w:val="24"/>
          <w:szCs w:val="24"/>
          <w:lang w:val="en-US" w:eastAsia="zh-CN"/>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场地道具包括得分道具及任务道具，以下为道具介绍：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000000" w:themeColor="text1"/>
          <w:sz w:val="24"/>
          <w:szCs w:val="24"/>
          <w:lang w:val="en-US" w:eastAsia="zh-CN"/>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得分道具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2" w:firstLineChars="200"/>
        <w:jc w:val="left"/>
        <w:textAlignment w:val="auto"/>
        <w:rPr>
          <w:rFonts w:hint="eastAsia" w:ascii="仿宋" w:hAnsi="仿宋" w:eastAsia="仿宋" w:cs="仿宋"/>
          <w:b/>
          <w:bCs/>
          <w:color w:val="000000" w:themeColor="text1"/>
          <w:kern w:val="0"/>
          <w:sz w:val="22"/>
          <w:szCs w:val="22"/>
          <w:lang w:val="en-US" w:eastAsia="zh-CN"/>
          <w14:textFill>
            <w14:solidFill>
              <w14:schemeClr w14:val="tx1"/>
            </w14:solidFill>
          </w14:textFill>
        </w:rPr>
      </w:pPr>
      <w:r>
        <w:rPr>
          <w:rFonts w:hint="eastAsia" w:ascii="仿宋" w:hAnsi="仿宋" w:eastAsia="仿宋" w:cs="仿宋"/>
          <w:b/>
          <w:bCs/>
          <w:color w:val="000000" w:themeColor="text1"/>
          <w:kern w:val="0"/>
          <w:sz w:val="22"/>
          <w:szCs w:val="22"/>
          <w:lang w:val="en-US" w:eastAsia="zh-CN"/>
          <w14:textFill>
            <w14:solidFill>
              <w14:schemeClr w14:val="tx1"/>
            </w14:solidFill>
          </w14:textFill>
        </w:rPr>
        <w:t>道具名称：数据块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color w:val="000000" w:themeColor="text1"/>
          <w:kern w:val="0"/>
          <w:sz w:val="22"/>
          <w:szCs w:val="22"/>
          <w:lang w:val="en-US" w:eastAsia="zh-CN"/>
          <w14:textFill>
            <w14:solidFill>
              <w14:schemeClr w14:val="tx1"/>
            </w14:solidFill>
          </w14:textFill>
        </w:rPr>
      </w:pPr>
      <w:r>
        <w:rPr>
          <w:rFonts w:hint="eastAsia" w:ascii="仿宋" w:hAnsi="仿宋" w:eastAsia="仿宋" w:cs="仿宋"/>
          <w:b w:val="0"/>
          <w:bCs w:val="0"/>
          <w:color w:val="000000" w:themeColor="text1"/>
          <w:kern w:val="0"/>
          <w:sz w:val="22"/>
          <w:szCs w:val="22"/>
          <w:lang w:val="en-US" w:eastAsia="zh-CN"/>
          <w14:textFill>
            <w14:solidFill>
              <w14:schemeClr w14:val="tx1"/>
            </w14:solidFill>
          </w14:textFill>
        </w:rPr>
        <w:t>道具介绍：边长70mm带倒三角的红色或蓝色正方体，4面分别标有字母“M”“A”“E”“X”，以下简称红色/蓝色字母方块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color w:val="000000" w:themeColor="text1"/>
          <w:kern w:val="0"/>
          <w:sz w:val="22"/>
          <w:szCs w:val="22"/>
          <w:lang w:val="en-US" w:eastAsia="zh-CN"/>
          <w14:textFill>
            <w14:solidFill>
              <w14:schemeClr w14:val="tx1"/>
            </w14:solidFill>
          </w14:textFill>
        </w:rPr>
      </w:pPr>
      <w:r>
        <w:rPr>
          <w:rFonts w:hint="eastAsia" w:ascii="仿宋" w:hAnsi="仿宋" w:eastAsia="仿宋" w:cs="仿宋"/>
          <w:b w:val="0"/>
          <w:bCs w:val="0"/>
          <w:color w:val="000000" w:themeColor="text1"/>
          <w:kern w:val="0"/>
          <w:sz w:val="22"/>
          <w:szCs w:val="22"/>
          <w:lang w:val="en-US" w:eastAsia="zh-CN"/>
          <w14:textFill>
            <w14:solidFill>
              <w14:schemeClr w14:val="tx1"/>
            </w14:solidFill>
          </w14:textFill>
        </w:rPr>
        <w:t>道具尺寸：最大边长为70mm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color w:val="000000" w:themeColor="text1"/>
          <w:kern w:val="0"/>
          <w:sz w:val="22"/>
          <w:szCs w:val="22"/>
          <w:lang w:val="en-US" w:eastAsia="zh-CN"/>
          <w14:textFill>
            <w14:solidFill>
              <w14:schemeClr w14:val="tx1"/>
            </w14:solidFill>
          </w14:textFill>
        </w:rPr>
      </w:pPr>
      <w:r>
        <w:rPr>
          <w:rFonts w:hint="eastAsia" w:ascii="仿宋" w:hAnsi="仿宋" w:eastAsia="仿宋" w:cs="仿宋"/>
          <w:b w:val="0"/>
          <w:bCs w:val="0"/>
          <w:color w:val="000000" w:themeColor="text1"/>
          <w:kern w:val="0"/>
          <w:sz w:val="22"/>
          <w:szCs w:val="22"/>
          <w:lang w:val="en-US" w:eastAsia="zh-CN"/>
          <w14:textFill>
            <w14:solidFill>
              <w14:schemeClr w14:val="tx1"/>
            </w14:solidFill>
          </w14:textFill>
        </w:rPr>
        <w:t>颜色与材质：红色、蓝色、EVA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黑体" w:hAnsi="黑体" w:eastAsia="黑体" w:cs="黑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color w:val="000000" w:themeColor="text1"/>
          <w14:textFill>
            <w14:solidFill>
              <w14:schemeClr w14:val="tx1"/>
            </w14:solidFill>
          </w14:textFill>
        </w:rPr>
      </w:pPr>
      <w:r>
        <w:drawing>
          <wp:inline distT="0" distB="0" distL="114300" distR="114300">
            <wp:extent cx="5096510" cy="1880235"/>
            <wp:effectExtent l="0" t="0" r="0" b="0"/>
            <wp:docPr id="6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96510" cy="188023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黑体" w:hAnsi="黑体" w:eastAsia="黑体" w:cs="黑体"/>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数据块示意图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黑体" w:hAnsi="黑体" w:eastAsia="黑体" w:cs="黑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2" w:firstLineChars="200"/>
        <w:jc w:val="left"/>
        <w:textAlignment w:val="auto"/>
        <w:rPr>
          <w:rFonts w:hint="eastAsia" w:ascii="仿宋" w:hAnsi="仿宋" w:eastAsia="仿宋" w:cs="仿宋"/>
          <w:b/>
          <w:bCs/>
          <w:color w:val="000000" w:themeColor="text1"/>
          <w:kern w:val="0"/>
          <w:sz w:val="22"/>
          <w:szCs w:val="22"/>
          <w:lang w:val="en-US" w:eastAsia="zh-CN"/>
          <w14:textFill>
            <w14:solidFill>
              <w14:schemeClr w14:val="tx1"/>
            </w14:solidFill>
          </w14:textFill>
        </w:rPr>
      </w:pPr>
      <w:r>
        <w:rPr>
          <w:rFonts w:hint="eastAsia" w:ascii="仿宋" w:hAnsi="仿宋" w:eastAsia="仿宋" w:cs="仿宋"/>
          <w:b/>
          <w:bCs/>
          <w:color w:val="000000" w:themeColor="text1"/>
          <w:kern w:val="0"/>
          <w:sz w:val="22"/>
          <w:szCs w:val="22"/>
          <w:lang w:val="en-US" w:eastAsia="zh-CN"/>
          <w14:textFill>
            <w14:solidFill>
              <w14:schemeClr w14:val="tx1"/>
            </w14:solidFill>
          </w14:textFill>
        </w:rPr>
        <w:t>道具名称：量子芯片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道具介绍：边长70mm带倒三角的黄色正方体，4面均标字母“K”，以下简称黄色字母方块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 xml:space="preserve">道具尺寸：最大边长为70mm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color w:val="000000" w:themeColor="text1"/>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颜色与材质：黄色、EVA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450340" cy="1536700"/>
            <wp:effectExtent l="0" t="0" r="12700" b="2540"/>
            <wp:docPr id="63" name="Draw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0340" cy="15367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color w:val="000000" w:themeColor="text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color w:val="000000" w:themeColor="text1"/>
          <w:kern w:val="0"/>
          <w:sz w:val="22"/>
          <w:szCs w:val="22"/>
          <w:lang w:val="en-US" w:eastAsia="zh-CN"/>
          <w14:textFill>
            <w14:solidFill>
              <w14:schemeClr w14:val="tx1"/>
            </w14:solidFill>
          </w14:textFill>
        </w:rPr>
      </w:pPr>
      <w:r>
        <w:rPr>
          <w:rFonts w:hint="eastAsia" w:ascii="仿宋" w:hAnsi="仿宋" w:eastAsia="仿宋" w:cs="仿宋"/>
          <w:b w:val="0"/>
          <w:bCs w:val="0"/>
          <w:color w:val="000000" w:themeColor="text1"/>
          <w:kern w:val="0"/>
          <w:sz w:val="22"/>
          <w:szCs w:val="22"/>
          <w:lang w:val="en-US" w:eastAsia="zh-CN"/>
          <w14:textFill>
            <w14:solidFill>
              <w14:schemeClr w14:val="tx1"/>
            </w14:solidFill>
          </w14:textFill>
        </w:rPr>
        <w:t>量子芯片示意图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2" w:firstLineChars="200"/>
        <w:jc w:val="left"/>
        <w:textAlignment w:val="auto"/>
        <w:rPr>
          <w:rFonts w:hint="eastAsia" w:ascii="仿宋" w:hAnsi="仿宋" w:eastAsia="仿宋" w:cs="仿宋"/>
          <w:b/>
          <w:bCs/>
          <w:color w:val="000000" w:themeColor="text1"/>
          <w:kern w:val="0"/>
          <w:sz w:val="22"/>
          <w:szCs w:val="22"/>
          <w:lang w:val="en-US" w:eastAsia="zh-CN"/>
          <w14:textFill>
            <w14:solidFill>
              <w14:schemeClr w14:val="tx1"/>
            </w14:solidFill>
          </w14:textFill>
        </w:rPr>
      </w:pPr>
      <w:r>
        <w:rPr>
          <w:rFonts w:hint="eastAsia" w:ascii="仿宋" w:hAnsi="仿宋" w:eastAsia="仿宋" w:cs="仿宋"/>
          <w:b/>
          <w:bCs/>
          <w:color w:val="000000" w:themeColor="text1"/>
          <w:kern w:val="0"/>
          <w:sz w:val="22"/>
          <w:szCs w:val="22"/>
          <w:lang w:val="en-US" w:eastAsia="zh-CN"/>
          <w14:textFill>
            <w14:solidFill>
              <w14:schemeClr w14:val="tx1"/>
            </w14:solidFill>
          </w14:textFill>
        </w:rPr>
        <w:t>道具名称：有机晶体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道具介绍：边长70mm带倒三角的黄色正方体，以下简称黄色方块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道具尺寸：最大边长为70mm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cs="微软雅黑"/>
          <w:color w:val="000000" w:themeColor="text1"/>
          <w:sz w:val="24"/>
          <w:szCs w:val="21"/>
          <w14:textFill>
            <w14:solidFill>
              <w14:schemeClr w14:val="tx1"/>
            </w14:solidFill>
          </w14:textFill>
        </w:rPr>
        <w:drawing>
          <wp:anchor distT="0" distB="0" distL="114300" distR="114300" simplePos="0" relativeHeight="251661312" behindDoc="0" locked="0" layoutInCell="1" allowOverlap="1">
            <wp:simplePos x="0" y="0"/>
            <wp:positionH relativeFrom="margin">
              <wp:posOffset>2149475</wp:posOffset>
            </wp:positionH>
            <wp:positionV relativeFrom="paragraph">
              <wp:posOffset>438150</wp:posOffset>
            </wp:positionV>
            <wp:extent cx="1498600" cy="1498600"/>
            <wp:effectExtent l="0" t="0" r="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498600" cy="1498600"/>
                    </a:xfrm>
                    <a:prstGeom prst="rect">
                      <a:avLst/>
                    </a:prstGeom>
                  </pic:spPr>
                </pic:pic>
              </a:graphicData>
            </a:graphic>
          </wp:anchor>
        </w:drawing>
      </w:r>
      <w:r>
        <w:rPr>
          <w:rFonts w:hint="eastAsia" w:ascii="仿宋" w:hAnsi="仿宋" w:eastAsia="仿宋" w:cs="仿宋"/>
          <w:color w:val="000000" w:themeColor="text1"/>
          <w:kern w:val="0"/>
          <w:sz w:val="22"/>
          <w:szCs w:val="22"/>
          <w:lang w:val="en-US" w:eastAsia="zh-CN"/>
          <w14:textFill>
            <w14:solidFill>
              <w14:schemeClr w14:val="tx1"/>
            </w14:solidFill>
          </w14:textFill>
        </w:rPr>
        <w:t>颜色与材质：黄色、EVA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有机晶体示意图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2" w:firstLineChars="200"/>
        <w:jc w:val="left"/>
        <w:textAlignment w:val="auto"/>
        <w:rPr>
          <w:rFonts w:hint="eastAsia" w:ascii="仿宋" w:hAnsi="仿宋" w:eastAsia="仿宋" w:cs="仿宋"/>
          <w:b/>
          <w:bCs/>
          <w:color w:val="000000" w:themeColor="text1"/>
          <w:kern w:val="0"/>
          <w:sz w:val="22"/>
          <w:szCs w:val="22"/>
          <w:lang w:val="en-US" w:eastAsia="zh-CN"/>
          <w14:textFill>
            <w14:solidFill>
              <w14:schemeClr w14:val="tx1"/>
            </w14:solidFill>
          </w14:textFill>
        </w:rPr>
      </w:pPr>
      <w:r>
        <w:rPr>
          <w:rFonts w:hint="eastAsia" w:ascii="仿宋" w:hAnsi="仿宋" w:eastAsia="仿宋" w:cs="仿宋"/>
          <w:b/>
          <w:bCs/>
          <w:color w:val="000000" w:themeColor="text1"/>
          <w:kern w:val="0"/>
          <w:sz w:val="22"/>
          <w:szCs w:val="22"/>
          <w:lang w:val="en-US" w:eastAsia="zh-CN"/>
          <w14:textFill>
            <w14:solidFill>
              <w14:schemeClr w14:val="tx1"/>
            </w14:solidFill>
          </w14:textFill>
        </w:rPr>
        <w:t xml:space="preserve">道具名称：战队自制标记物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道具介绍：为立体道具，不限制材质，推荐使用激光切割机或 3D 打印机制作而成。高度大于等于120mm，在地面的垂直投影小于等于直径60mm的圆形区域。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道具尺寸：高度≥120mm，垂直投影面积≤直径60mm的圆形区域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颜色与材质：不限制颜色与材质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黑体" w:hAnsi="黑体" w:eastAsia="黑体" w:cs="黑体"/>
          <w:b/>
          <w:bCs/>
          <w:color w:val="000000" w:themeColor="text1"/>
          <w:sz w:val="21"/>
          <w:szCs w:val="21"/>
          <w:lang w:val="en-US" w:eastAsia="zh-CN"/>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任务道具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2" w:firstLineChars="200"/>
        <w:jc w:val="left"/>
        <w:textAlignment w:val="auto"/>
        <w:rPr>
          <w:rFonts w:hint="eastAsia" w:ascii="仿宋" w:hAnsi="仿宋" w:eastAsia="仿宋" w:cs="仿宋"/>
          <w:b/>
          <w:bCs/>
          <w:color w:val="000000" w:themeColor="text1"/>
          <w:kern w:val="0"/>
          <w:sz w:val="22"/>
          <w:szCs w:val="22"/>
          <w:lang w:val="en-US" w:eastAsia="zh-CN"/>
          <w14:textFill>
            <w14:solidFill>
              <w14:schemeClr w14:val="tx1"/>
            </w14:solidFill>
          </w14:textFill>
        </w:rPr>
      </w:pPr>
      <w:r>
        <w:rPr>
          <w:rFonts w:hint="eastAsia" w:ascii="仿宋" w:hAnsi="仿宋" w:eastAsia="仿宋" w:cs="仿宋"/>
          <w:b/>
          <w:bCs/>
          <w:color w:val="000000" w:themeColor="text1"/>
          <w:kern w:val="0"/>
          <w:sz w:val="22"/>
          <w:szCs w:val="22"/>
          <w:lang w:val="en-US" w:eastAsia="zh-CN"/>
          <w14:textFill>
            <w14:solidFill>
              <w14:schemeClr w14:val="tx1"/>
            </w14:solidFill>
          </w14:textFill>
        </w:rPr>
        <w:t xml:space="preserve">道具名称：物流配送器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道具介绍：由蓝色金属零件搭建而成异形结构，其中有一部分可以平行运动的放置平台会放置一个红色或蓝色字母方块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道具尺寸：165*96*176mm（长、宽、高）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颜色与材质：蓝色金属零件、黑色亚克力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eastAsia" w:ascii="黑体" w:hAnsi="黑体" w:eastAsia="黑体" w:cs="黑体"/>
          <w:color w:val="000000" w:themeColor="text1"/>
          <w:sz w:val="21"/>
          <w:szCs w:val="21"/>
          <w:lang w:val="en-US" w:eastAsia="zh-CN"/>
          <w14:textFill>
            <w14:solidFill>
              <w14:schemeClr w14:val="tx1"/>
            </w14:solidFill>
          </w14:textFill>
        </w:rPr>
      </w:pPr>
      <w:r>
        <w:rPr>
          <w:rFonts w:cs="微软雅黑"/>
          <w:color w:val="000000" w:themeColor="text1"/>
          <w:sz w:val="24"/>
          <w:szCs w:val="21"/>
          <w14:textFill>
            <w14:solidFill>
              <w14:schemeClr w14:val="tx1"/>
            </w14:solidFill>
          </w14:textFill>
        </w:rPr>
        <w:drawing>
          <wp:inline distT="0" distB="0" distL="114300" distR="114300">
            <wp:extent cx="5278120" cy="1849755"/>
            <wp:effectExtent l="0" t="0" r="0" b="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8120" cy="184975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pPr>
      <w:r>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t>物流配送器示意图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2" w:firstLineChars="200"/>
        <w:jc w:val="left"/>
        <w:textAlignment w:val="auto"/>
        <w:rPr>
          <w:rFonts w:hint="eastAsia" w:ascii="仿宋" w:hAnsi="仿宋" w:eastAsia="仿宋" w:cs="仿宋"/>
          <w:b/>
          <w:bCs/>
          <w:color w:val="000000" w:themeColor="text1"/>
          <w:kern w:val="0"/>
          <w:sz w:val="22"/>
          <w:szCs w:val="22"/>
          <w:lang w:val="en-US" w:eastAsia="zh-CN"/>
          <w14:textFill>
            <w14:solidFill>
              <w14:schemeClr w14:val="tx1"/>
            </w14:solidFill>
          </w14:textFill>
        </w:rPr>
      </w:pPr>
      <w:r>
        <w:rPr>
          <w:rFonts w:hint="eastAsia" w:ascii="仿宋" w:hAnsi="仿宋" w:eastAsia="仿宋" w:cs="仿宋"/>
          <w:b/>
          <w:bCs/>
          <w:color w:val="000000" w:themeColor="text1"/>
          <w:kern w:val="0"/>
          <w:sz w:val="22"/>
          <w:szCs w:val="22"/>
          <w:lang w:val="en-US" w:eastAsia="zh-CN"/>
          <w14:textFill>
            <w14:solidFill>
              <w14:schemeClr w14:val="tx1"/>
            </w14:solidFill>
          </w14:textFill>
        </w:rPr>
        <w:t xml:space="preserve">道具名称：反物质燃料棒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道具介绍：由5个平面组成，每个平面贴有“色标”、“字母”，可以转动，每次转动可以保持其中一面绝对平行向上；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道具尺寸：110*128*70mm；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颜色与材质：蓝色金属零件、黑色亚克力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color w:val="000000" w:themeColor="text1"/>
          <w14:textFill>
            <w14:solidFill>
              <w14:schemeClr w14:val="tx1"/>
            </w14:solidFill>
          </w14:textFill>
        </w:rPr>
      </w:pPr>
      <w:r>
        <w:rPr>
          <w:rFonts w:hint="eastAsia" w:ascii="思源黑体 CN Heavy" w:hAnsi="思源黑体 CN Heavy" w:eastAsia="思源黑体 CN Heavy" w:cs="微软雅黑"/>
          <w:b/>
          <w:sz w:val="24"/>
          <w:szCs w:val="21"/>
          <w:lang w:val="zh-CN"/>
        </w:rPr>
        <w:drawing>
          <wp:inline distT="0" distB="0" distL="114300" distR="114300">
            <wp:extent cx="3308985" cy="2085975"/>
            <wp:effectExtent l="0" t="0" r="13970" b="19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08985" cy="208597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pPr>
      <w:r>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t>反物质燃料棒示意图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2" w:firstLineChars="200"/>
        <w:jc w:val="left"/>
        <w:textAlignment w:val="auto"/>
        <w:rPr>
          <w:rFonts w:hint="eastAsia" w:ascii="仿宋" w:hAnsi="仿宋" w:eastAsia="仿宋" w:cs="仿宋"/>
          <w:b/>
          <w:bCs/>
          <w:color w:val="000000" w:themeColor="text1"/>
          <w:kern w:val="0"/>
          <w:sz w:val="22"/>
          <w:szCs w:val="22"/>
          <w:lang w:val="en-US" w:eastAsia="zh-CN"/>
          <w14:textFill>
            <w14:solidFill>
              <w14:schemeClr w14:val="tx1"/>
            </w14:solidFill>
          </w14:textFill>
        </w:rPr>
      </w:pPr>
      <w:r>
        <w:rPr>
          <w:rFonts w:hint="eastAsia" w:ascii="仿宋" w:hAnsi="仿宋" w:eastAsia="仿宋" w:cs="仿宋"/>
          <w:b/>
          <w:bCs/>
          <w:color w:val="000000" w:themeColor="text1"/>
          <w:kern w:val="0"/>
          <w:sz w:val="22"/>
          <w:szCs w:val="22"/>
          <w:lang w:val="en-US" w:eastAsia="zh-CN"/>
          <w14:textFill>
            <w14:solidFill>
              <w14:schemeClr w14:val="tx1"/>
            </w14:solidFill>
          </w14:textFill>
        </w:rPr>
        <w:t>道具名称：高制造台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道具介绍：由蓝色零件以及黑色亚克力组成其平台可放置最大边长为70mm的方块，其底座不可移动；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道具尺寸：96*96*100mm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default"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颜色与材质：蓝色金属零件、黑色亚克力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color w:val="000000" w:themeColor="text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center"/>
        <w:textAlignment w:val="auto"/>
        <w:rPr>
          <w:color w:val="000000" w:themeColor="text1"/>
          <w14:textFill>
            <w14:solidFill>
              <w14:schemeClr w14:val="tx1"/>
            </w14:solidFill>
          </w14:textFill>
        </w:rPr>
      </w:pPr>
      <w:r>
        <w:rPr>
          <w:rFonts w:hint="eastAsia" w:ascii="思源黑体 CN Heavy" w:hAnsi="思源黑体 CN Heavy" w:eastAsia="思源黑体 CN Heavy" w:cs="微软雅黑"/>
          <w:b/>
          <w:sz w:val="24"/>
          <w:szCs w:val="21"/>
          <w:lang w:val="zh-CN"/>
        </w:rPr>
        <w:drawing>
          <wp:inline distT="0" distB="0" distL="114300" distR="114300">
            <wp:extent cx="1911350" cy="211074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6" cstate="print">
                      <a:extLst>
                        <a:ext uri="{28A0092B-C50C-407E-A947-70E740481C1C}">
                          <a14:useLocalDpi xmlns:a14="http://schemas.microsoft.com/office/drawing/2010/main" val="0"/>
                        </a:ext>
                      </a:extLst>
                    </a:blip>
                    <a:srcRect l="25072" r="25072"/>
                    <a:stretch>
                      <a:fillRect/>
                    </a:stretch>
                  </pic:blipFill>
                  <pic:spPr>
                    <a:xfrm>
                      <a:off x="0" y="0"/>
                      <a:ext cx="1911350" cy="211074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pPr>
      <w:r>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t>高制造台示意图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2" w:firstLineChars="200"/>
        <w:jc w:val="left"/>
        <w:textAlignment w:val="auto"/>
        <w:rPr>
          <w:rFonts w:hint="eastAsia" w:ascii="仿宋" w:hAnsi="仿宋" w:eastAsia="仿宋" w:cs="仿宋"/>
          <w:b/>
          <w:bCs/>
          <w:color w:val="000000" w:themeColor="text1"/>
          <w:kern w:val="0"/>
          <w:sz w:val="22"/>
          <w:szCs w:val="22"/>
          <w:lang w:val="en-US" w:eastAsia="zh-CN"/>
          <w14:textFill>
            <w14:solidFill>
              <w14:schemeClr w14:val="tx1"/>
            </w14:solidFill>
          </w14:textFill>
        </w:rPr>
      </w:pPr>
      <w:r>
        <w:rPr>
          <w:rFonts w:hint="eastAsia" w:ascii="仿宋" w:hAnsi="仿宋" w:eastAsia="仿宋" w:cs="仿宋"/>
          <w:b/>
          <w:bCs/>
          <w:color w:val="000000" w:themeColor="text1"/>
          <w:kern w:val="0"/>
          <w:sz w:val="22"/>
          <w:szCs w:val="22"/>
          <w:lang w:val="en-US" w:eastAsia="zh-CN"/>
          <w14:textFill>
            <w14:solidFill>
              <w14:schemeClr w14:val="tx1"/>
            </w14:solidFill>
          </w14:textFill>
        </w:rPr>
        <w:t>道具名称∶低制造台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道具介绍∶由黑色亚克力组成，底座可以移动，底部粘有引磁片，可以放置在磁铁上；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道具尺寸∶96*96*42mm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颜色与材质∶蓝色金属零件、黑色亚克力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default" w:ascii="黑体" w:hAnsi="黑体" w:eastAsia="黑体" w:cs="黑体"/>
          <w:color w:val="000000" w:themeColor="text1"/>
          <w:sz w:val="21"/>
          <w:szCs w:val="21"/>
          <w:lang w:val="en-US" w:eastAsia="zh-CN"/>
          <w14:textFill>
            <w14:solidFill>
              <w14:schemeClr w14:val="tx1"/>
            </w14:solidFill>
          </w14:textFill>
        </w:rPr>
      </w:pPr>
      <w:r>
        <w:rPr>
          <w:rFonts w:hint="eastAsia" w:cs="微软雅黑"/>
          <w:color w:val="000000" w:themeColor="text1"/>
          <w:sz w:val="24"/>
          <w:szCs w:val="21"/>
          <w14:textFill>
            <w14:solidFill>
              <w14:schemeClr w14:val="tx1"/>
            </w14:solidFill>
          </w14:textFill>
        </w:rPr>
        <w:drawing>
          <wp:inline distT="0" distB="0" distL="114300" distR="114300">
            <wp:extent cx="3286125" cy="180848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86125" cy="180848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pPr>
      <w:r>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t>低制造台示意图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2" w:firstLineChars="200"/>
        <w:jc w:val="left"/>
        <w:textAlignment w:val="auto"/>
        <w:rPr>
          <w:rFonts w:hint="eastAsia" w:ascii="仿宋" w:hAnsi="仿宋" w:eastAsia="仿宋" w:cs="仿宋"/>
          <w:b/>
          <w:bCs/>
          <w:color w:val="000000" w:themeColor="text1"/>
          <w:kern w:val="0"/>
          <w:sz w:val="22"/>
          <w:szCs w:val="22"/>
          <w:lang w:val="en-US" w:eastAsia="zh-CN"/>
          <w14:textFill>
            <w14:solidFill>
              <w14:schemeClr w14:val="tx1"/>
            </w14:solidFill>
          </w14:textFill>
        </w:rPr>
      </w:pPr>
      <w:r>
        <w:rPr>
          <w:rFonts w:hint="eastAsia" w:ascii="仿宋" w:hAnsi="仿宋" w:eastAsia="仿宋" w:cs="仿宋"/>
          <w:b/>
          <w:bCs/>
          <w:color w:val="000000" w:themeColor="text1"/>
          <w:kern w:val="0"/>
          <w:sz w:val="22"/>
          <w:szCs w:val="22"/>
          <w:lang w:val="en-US" w:eastAsia="zh-CN"/>
          <w14:textFill>
            <w14:solidFill>
              <w14:schemeClr w14:val="tx1"/>
            </w14:solidFill>
          </w14:textFill>
        </w:rPr>
        <w:t xml:space="preserve">道具名称：资源转换器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道具介绍：由蓝色金属和黑色亚克力组成，嵌入方块的底座可以旋转，在底座下放入方块，可以使底座水平；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道具尺寸：108*124*157 mm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bookmarkStart w:id="0" w:name="bookmark60"/>
      <w:bookmarkStart w:id="1" w:name="bookmark59"/>
      <w:bookmarkStart w:id="2" w:name="bookmark58"/>
      <w:r>
        <w:rPr>
          <w:rFonts w:hint="eastAsia" w:ascii="仿宋" w:hAnsi="仿宋" w:eastAsia="仿宋" w:cs="仿宋"/>
          <w:color w:val="000000" w:themeColor="text1"/>
          <w:kern w:val="0"/>
          <w:sz w:val="22"/>
          <w:szCs w:val="22"/>
          <w:lang w:val="en-US" w:eastAsia="zh-CN"/>
          <w14:textFill>
            <w14:solidFill>
              <w14:schemeClr w14:val="tx1"/>
            </w14:solidFill>
          </w14:textFill>
        </w:rPr>
        <w:t>颜色与材质：</w:t>
      </w:r>
      <w:bookmarkEnd w:id="0"/>
      <w:bookmarkEnd w:id="1"/>
      <w:bookmarkEnd w:id="2"/>
      <w:r>
        <w:rPr>
          <w:rFonts w:hint="eastAsia" w:ascii="仿宋" w:hAnsi="仿宋" w:eastAsia="仿宋" w:cs="仿宋"/>
          <w:color w:val="000000" w:themeColor="text1"/>
          <w:kern w:val="0"/>
          <w:sz w:val="22"/>
          <w:szCs w:val="22"/>
          <w:lang w:val="en-US" w:eastAsia="zh-CN"/>
          <w14:textFill>
            <w14:solidFill>
              <w14:schemeClr w14:val="tx1"/>
            </w14:solidFill>
          </w14:textFill>
        </w:rPr>
        <w:t>蓝色金属零件、黑色亚克力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center"/>
        <w:textAlignment w:val="auto"/>
        <w:rPr>
          <w:color w:val="000000" w:themeColor="text1"/>
          <w14:textFill>
            <w14:solidFill>
              <w14:schemeClr w14:val="tx1"/>
            </w14:solidFill>
          </w14:textFill>
        </w:rPr>
      </w:pPr>
      <w:r>
        <w:rPr>
          <w:rFonts w:hint="eastAsia" w:ascii="思源黑体 CN Heavy" w:hAnsi="思源黑体 CN Heavy" w:eastAsia="思源黑体 CN Heavy"/>
          <w:b/>
        </w:rPr>
        <w:drawing>
          <wp:inline distT="0" distB="0" distL="114300" distR="114300">
            <wp:extent cx="4705985" cy="126746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05985" cy="126746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pPr>
      <w:r>
        <w:rPr>
          <w:rFonts w:hint="eastAsia" w:ascii="仿宋" w:hAnsi="仿宋" w:eastAsia="仿宋" w:cs="仿宋"/>
          <w:color w:val="000000" w:themeColor="text1"/>
          <w:sz w:val="21"/>
          <w:szCs w:val="21"/>
          <w:u w:val="none"/>
          <w:shd w:val="clear" w:color="auto" w:fill="auto"/>
          <w:lang w:val="en-US" w:eastAsia="zh-CN"/>
          <w14:textFill>
            <w14:solidFill>
              <w14:schemeClr w14:val="tx1"/>
            </w14:solidFill>
          </w14:textFill>
        </w:rPr>
        <w:t>资源转换器</w:t>
      </w:r>
      <w:r>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t>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2" w:firstLineChars="200"/>
        <w:jc w:val="left"/>
        <w:textAlignment w:val="auto"/>
        <w:rPr>
          <w:rFonts w:hint="eastAsia" w:ascii="仿宋" w:hAnsi="仿宋" w:eastAsia="仿宋" w:cs="仿宋"/>
          <w:b/>
          <w:bCs/>
          <w:color w:val="000000" w:themeColor="text1"/>
          <w:kern w:val="0"/>
          <w:sz w:val="22"/>
          <w:szCs w:val="22"/>
          <w:lang w:val="en-US" w:eastAsia="zh-CN"/>
          <w14:textFill>
            <w14:solidFill>
              <w14:schemeClr w14:val="tx1"/>
            </w14:solidFill>
          </w14:textFill>
        </w:rPr>
      </w:pPr>
      <w:r>
        <w:rPr>
          <w:rFonts w:hint="eastAsia" w:ascii="仿宋" w:hAnsi="仿宋" w:eastAsia="仿宋" w:cs="仿宋"/>
          <w:b/>
          <w:bCs/>
          <w:color w:val="000000" w:themeColor="text1"/>
          <w:kern w:val="0"/>
          <w:sz w:val="22"/>
          <w:szCs w:val="22"/>
          <w:lang w:val="en-US" w:eastAsia="zh-CN"/>
          <w14:textFill>
            <w14:solidFill>
              <w14:schemeClr w14:val="tx1"/>
            </w14:solidFill>
          </w14:textFill>
        </w:rPr>
        <w:t>道具名称：高速分拣器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 xml:space="preserve">道具介绍：由蓝色金属零件搭建而成的异形结构，安装在场地中央边框上；带有滑轨装置，可以将低阶放置台放置在滑轨上滑动至手动区域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 xml:space="preserve">道具尺寸：300*50*78 mm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颜色与材质：蓝色金属零件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color w:val="000000" w:themeColor="text1"/>
          <w14:textFill>
            <w14:solidFill>
              <w14:schemeClr w14:val="tx1"/>
            </w14:solidFill>
          </w14:textFill>
        </w:rPr>
      </w:pPr>
      <w:r>
        <w:drawing>
          <wp:inline distT="0" distB="0" distL="114300" distR="114300">
            <wp:extent cx="2752725" cy="1515110"/>
            <wp:effectExtent l="0" t="0" r="5715" b="8890"/>
            <wp:docPr id="69" name="Draw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1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2725" cy="151511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pPr>
      <w:r>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t>高速分拣器示意图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2" w:firstLineChars="200"/>
        <w:jc w:val="left"/>
        <w:textAlignment w:val="auto"/>
        <w:rPr>
          <w:rFonts w:hint="eastAsia" w:ascii="仿宋" w:hAnsi="仿宋" w:eastAsia="仿宋" w:cs="仿宋"/>
          <w:b/>
          <w:bCs/>
          <w:color w:val="000000" w:themeColor="text1"/>
          <w:kern w:val="0"/>
          <w:sz w:val="22"/>
          <w:szCs w:val="22"/>
          <w:lang w:val="en-US" w:eastAsia="zh-CN"/>
          <w14:textFill>
            <w14:solidFill>
              <w14:schemeClr w14:val="tx1"/>
            </w14:solidFill>
          </w14:textFill>
        </w:rPr>
      </w:pPr>
      <w:r>
        <w:rPr>
          <w:rFonts w:hint="eastAsia" w:ascii="仿宋" w:hAnsi="仿宋" w:eastAsia="仿宋" w:cs="仿宋"/>
          <w:b/>
          <w:bCs/>
          <w:color w:val="000000" w:themeColor="text1"/>
          <w:kern w:val="0"/>
          <w:sz w:val="22"/>
          <w:szCs w:val="22"/>
          <w:lang w:val="en-US" w:eastAsia="zh-CN"/>
          <w14:textFill>
            <w14:solidFill>
              <w14:schemeClr w14:val="tx1"/>
            </w14:solidFill>
          </w14:textFill>
        </w:rPr>
        <w:t>道具名称：储物仓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道具介绍：由黑色木板以及金属零件搭建而成，安装在场地中央边框上；在其上方由木板组成可嵌入字母方块，可放置3个最大边长为70mm的正方体;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 xml:space="preserve">道具尺寸：288*96*44 mm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default"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颜色与材质：黑色木板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color w:val="000000" w:themeColor="text1"/>
          <w14:textFill>
            <w14:solidFill>
              <w14:schemeClr w14:val="tx1"/>
            </w14:solidFill>
          </w14:textFill>
        </w:rPr>
      </w:pPr>
      <w:r>
        <w:drawing>
          <wp:inline distT="0" distB="0" distL="114300" distR="114300">
            <wp:extent cx="2590800" cy="1426210"/>
            <wp:effectExtent l="0" t="0" r="0" b="0"/>
            <wp:docPr id="20" name="Draw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1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90800" cy="142621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pPr>
      <w:r>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t>储物仓示意图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2" w:firstLineChars="200"/>
        <w:jc w:val="left"/>
        <w:textAlignment w:val="auto"/>
        <w:rPr>
          <w:rFonts w:hint="eastAsia" w:ascii="仿宋" w:hAnsi="仿宋" w:eastAsia="仿宋" w:cs="仿宋"/>
          <w:b/>
          <w:bCs/>
          <w:color w:val="000000" w:themeColor="text1"/>
          <w:kern w:val="0"/>
          <w:sz w:val="22"/>
          <w:szCs w:val="22"/>
          <w:lang w:val="en-US" w:eastAsia="zh-CN"/>
          <w14:textFill>
            <w14:solidFill>
              <w14:schemeClr w14:val="tx1"/>
            </w14:solidFill>
          </w14:textFill>
        </w:rPr>
      </w:pPr>
      <w:r>
        <w:rPr>
          <w:rFonts w:hint="eastAsia" w:ascii="仿宋" w:hAnsi="仿宋" w:eastAsia="仿宋" w:cs="仿宋"/>
          <w:b/>
          <w:bCs/>
          <w:color w:val="000000" w:themeColor="text1"/>
          <w:kern w:val="0"/>
          <w:sz w:val="22"/>
          <w:szCs w:val="22"/>
          <w:lang w:val="en-US" w:eastAsia="zh-CN"/>
          <w14:textFill>
            <w14:solidFill>
              <w14:schemeClr w14:val="tx1"/>
            </w14:solidFill>
          </w14:textFill>
        </w:rPr>
        <w:t>道具名称：矩阵研究站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color w:val="000000" w:themeColor="text1"/>
          <w:kern w:val="0"/>
          <w:sz w:val="22"/>
          <w:szCs w:val="22"/>
          <w:lang w:val="en-US" w:eastAsia="zh-CN"/>
          <w14:textFill>
            <w14:solidFill>
              <w14:schemeClr w14:val="tx1"/>
            </w14:solidFill>
          </w14:textFill>
        </w:rPr>
      </w:pPr>
      <w:r>
        <w:rPr>
          <w:rFonts w:hint="eastAsia" w:ascii="仿宋" w:hAnsi="仿宋" w:eastAsia="仿宋" w:cs="仿宋"/>
          <w:b w:val="0"/>
          <w:bCs w:val="0"/>
          <w:color w:val="000000" w:themeColor="text1"/>
          <w:kern w:val="0"/>
          <w:sz w:val="22"/>
          <w:szCs w:val="22"/>
          <w:lang w:val="en-US" w:eastAsia="zh-CN"/>
          <w14:textFill>
            <w14:solidFill>
              <w14:schemeClr w14:val="tx1"/>
            </w14:solidFill>
          </w14:textFill>
        </w:rPr>
        <w:t>道具介绍：由黑色木板以及金属零件搭建而成，在其上方由木板组成可嵌入字母方块的卡槽，可放置9个最大边长为70mm的正方体；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color w:val="000000" w:themeColor="text1"/>
          <w:kern w:val="0"/>
          <w:sz w:val="22"/>
          <w:szCs w:val="22"/>
          <w:lang w:val="en-US" w:eastAsia="zh-CN"/>
          <w14:textFill>
            <w14:solidFill>
              <w14:schemeClr w14:val="tx1"/>
            </w14:solidFill>
          </w14:textFill>
        </w:rPr>
      </w:pPr>
      <w:r>
        <w:rPr>
          <w:rFonts w:hint="eastAsia" w:ascii="仿宋" w:hAnsi="仿宋" w:eastAsia="仿宋" w:cs="仿宋"/>
          <w:b w:val="0"/>
          <w:bCs w:val="0"/>
          <w:color w:val="000000" w:themeColor="text1"/>
          <w:kern w:val="0"/>
          <w:sz w:val="22"/>
          <w:szCs w:val="22"/>
          <w:lang w:val="en-US" w:eastAsia="zh-CN"/>
          <w14:textFill>
            <w14:solidFill>
              <w14:schemeClr w14:val="tx1"/>
            </w14:solidFill>
          </w14:textFill>
        </w:rPr>
        <w:t xml:space="preserve">道具尺寸：620*620*110 mm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color w:val="000000" w:themeColor="text1"/>
          <w:kern w:val="0"/>
          <w:sz w:val="22"/>
          <w:szCs w:val="22"/>
          <w:lang w:val="en-US" w:eastAsia="zh-CN"/>
          <w14:textFill>
            <w14:solidFill>
              <w14:schemeClr w14:val="tx1"/>
            </w14:solidFill>
          </w14:textFill>
        </w:rPr>
      </w:pPr>
      <w:r>
        <w:rPr>
          <w:rFonts w:hint="eastAsia" w:ascii="仿宋" w:hAnsi="仿宋" w:eastAsia="仿宋" w:cs="仿宋"/>
          <w:b w:val="0"/>
          <w:bCs w:val="0"/>
          <w:color w:val="000000" w:themeColor="text1"/>
          <w:kern w:val="0"/>
          <w:sz w:val="22"/>
          <w:szCs w:val="22"/>
          <w:lang w:val="en-US" w:eastAsia="zh-CN"/>
          <w14:textFill>
            <w14:solidFill>
              <w14:schemeClr w14:val="tx1"/>
            </w14:solidFill>
          </w14:textFill>
        </w:rPr>
        <w:t>颜色与材质：蓝色金属零件、黑色木板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仿宋" w:hAnsi="仿宋" w:eastAsia="仿宋" w:cs="仿宋"/>
          <w:b w:val="0"/>
          <w:bCs w:val="0"/>
          <w:color w:val="000000" w:themeColor="text1"/>
          <w:kern w:val="0"/>
          <w:sz w:val="22"/>
          <w:szCs w:val="22"/>
          <w:lang w:val="en-US" w:eastAsia="zh-CN"/>
          <w14:textFill>
            <w14:solidFill>
              <w14:schemeClr w14:val="tx1"/>
            </w14:solidFill>
          </w14:textFill>
        </w:rPr>
      </w:pPr>
      <w:r>
        <w:drawing>
          <wp:inline distT="0" distB="0" distL="114300" distR="114300">
            <wp:extent cx="2476500" cy="1792605"/>
            <wp:effectExtent l="0" t="0" r="0" b="0"/>
            <wp:docPr id="70" name="Draw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2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76500" cy="179260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color w:val="000000" w:themeColor="text1"/>
          <w:kern w:val="0"/>
          <w:sz w:val="22"/>
          <w:szCs w:val="22"/>
          <w:lang w:val="en-US" w:eastAsia="zh-CN"/>
          <w14:textFill>
            <w14:solidFill>
              <w14:schemeClr w14:val="tx1"/>
            </w14:solidFill>
          </w14:textFill>
        </w:rPr>
      </w:pPr>
      <w:r>
        <w:rPr>
          <w:rFonts w:hint="eastAsia" w:ascii="仿宋" w:hAnsi="仿宋" w:eastAsia="仿宋" w:cs="仿宋"/>
          <w:b w:val="0"/>
          <w:bCs w:val="0"/>
          <w:color w:val="000000" w:themeColor="text1"/>
          <w:kern w:val="0"/>
          <w:sz w:val="22"/>
          <w:szCs w:val="22"/>
          <w:lang w:val="en-US" w:eastAsia="zh-CN"/>
          <w14:textFill>
            <w14:solidFill>
              <w14:schemeClr w14:val="tx1"/>
            </w14:solidFill>
          </w14:textFill>
        </w:rPr>
        <w:t>矩阵研究站示意图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b/>
          <w:bCs/>
          <w:color w:val="000000" w:themeColor="text1"/>
          <w:kern w:val="0"/>
          <w:sz w:val="22"/>
          <w:szCs w:val="22"/>
          <w:u w:val="none"/>
          <w:shd w:val="clear" w:color="auto" w:fill="auto"/>
          <w:lang w:val="en-US" w:eastAsia="zh-CN"/>
          <w14:textFill>
            <w14:solidFill>
              <w14:schemeClr w14:val="tx1"/>
            </w14:solidFill>
          </w14:textFill>
        </w:rPr>
      </w:pPr>
      <w:r>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tab/>
      </w:r>
      <w:r>
        <w:rPr>
          <w:rFonts w:hint="eastAsia" w:ascii="仿宋" w:hAnsi="仿宋" w:eastAsia="仿宋" w:cs="仿宋"/>
          <w:b/>
          <w:bCs/>
          <w:color w:val="000000" w:themeColor="text1"/>
          <w:kern w:val="0"/>
          <w:sz w:val="22"/>
          <w:szCs w:val="22"/>
          <w:u w:val="none"/>
          <w:shd w:val="clear" w:color="auto" w:fill="auto"/>
          <w:lang w:val="en-US" w:eastAsia="zh-CN"/>
          <w14:textFill>
            <w14:solidFill>
              <w14:schemeClr w14:val="tx1"/>
            </w14:solidFill>
          </w14:textFill>
        </w:rPr>
        <w:t>*注：所有场地及道具具有一定的合理公差。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000000" w:themeColor="text1"/>
          <w:sz w:val="24"/>
          <w:szCs w:val="24"/>
          <w:lang w:val="en-US" w:eastAsia="zh-CN"/>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4.5任务介绍及得分判定</w:t>
      </w:r>
    </w:p>
    <w:p>
      <w:pPr>
        <w:keepNext w:val="0"/>
        <w:keepLines w:val="0"/>
        <w:widowControl w:val="0"/>
        <w:numPr>
          <w:ilvl w:val="0"/>
          <w:numId w:val="0"/>
        </w:numPr>
        <w:shd w:val="clear" w:color="auto" w:fill="auto"/>
        <w:bidi w:val="0"/>
        <w:spacing w:before="0" w:after="0" w:line="360" w:lineRule="auto"/>
        <w:ind w:left="0" w:right="0" w:firstLine="440" w:firstLineChars="20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比赛任务分为独立任务、合作任务以及可能出现的神秘任务。</w:t>
      </w:r>
    </w:p>
    <w:p>
      <w:pPr>
        <w:keepNext w:val="0"/>
        <w:keepLines w:val="0"/>
        <w:widowControl w:val="0"/>
        <w:numPr>
          <w:ilvl w:val="0"/>
          <w:numId w:val="0"/>
        </w:numPr>
        <w:shd w:val="clear" w:color="auto" w:fill="auto"/>
        <w:bidi w:val="0"/>
        <w:spacing w:before="0" w:after="0" w:line="360" w:lineRule="auto"/>
        <w:ind w:left="0" w:right="0" w:firstLine="440" w:firstLineChars="20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独立任务：M01-M06，独立任务为红蓝方独立完成。</w:t>
      </w:r>
    </w:p>
    <w:p>
      <w:pPr>
        <w:keepNext w:val="0"/>
        <w:keepLines w:val="0"/>
        <w:widowControl w:val="0"/>
        <w:numPr>
          <w:ilvl w:val="0"/>
          <w:numId w:val="0"/>
        </w:numPr>
        <w:shd w:val="clear" w:color="auto" w:fill="auto"/>
        <w:bidi w:val="0"/>
        <w:spacing w:before="0" w:after="0" w:line="360" w:lineRule="auto"/>
        <w:ind w:left="0" w:right="0" w:firstLine="440" w:firstLineChars="20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合作任务：M07-M09，合作任务可由红蓝双方配合完成。</w:t>
      </w:r>
    </w:p>
    <w:p>
      <w:pPr>
        <w:keepNext w:val="0"/>
        <w:keepLines w:val="0"/>
        <w:widowControl w:val="0"/>
        <w:numPr>
          <w:ilvl w:val="0"/>
          <w:numId w:val="0"/>
        </w:numPr>
        <w:shd w:val="clear" w:color="auto" w:fill="auto"/>
        <w:bidi w:val="0"/>
        <w:spacing w:before="0" w:after="0" w:line="360" w:lineRule="auto"/>
        <w:ind w:left="0" w:right="0" w:firstLine="440" w:firstLineChars="20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神秘任务：比赛中，秩序册中公布的临时任务。</w:t>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color w:val="000000" w:themeColor="text1"/>
          <w:kern w:val="2"/>
          <w:sz w:val="21"/>
          <w:szCs w:val="21"/>
          <w:u w:val="none"/>
          <w:shd w:val="clear"/>
          <w:lang w:val="en-US" w:eastAsia="zh-CN" w:bidi="ar-SA"/>
          <w14:textFill>
            <w14:solidFill>
              <w14:schemeClr w14:val="tx1"/>
            </w14:solidFill>
          </w14:textFill>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color w:val="000000" w:themeColor="text1"/>
          <w:kern w:val="2"/>
          <w:sz w:val="21"/>
          <w:szCs w:val="21"/>
          <w:u w:val="none"/>
          <w:shd w:val="clear"/>
          <w:lang w:val="en-US" w:eastAsia="zh-CN" w:bidi="ar-SA"/>
          <w14:textFill>
            <w14:solidFill>
              <w14:schemeClr w14:val="tx1"/>
            </w14:solidFill>
          </w14:textFill>
        </w:rPr>
      </w:pPr>
    </w:p>
    <w:p>
      <w:pPr>
        <w:pStyle w:val="7"/>
        <w:keepNext w:val="0"/>
        <w:keepLines w:val="0"/>
        <w:widowControl w:val="0"/>
        <w:shd w:val="clear" w:color="auto" w:fill="auto"/>
        <w:bidi w:val="0"/>
        <w:spacing w:before="0" w:after="0" w:line="413" w:lineRule="exact"/>
        <w:ind w:left="0" w:right="0" w:firstLine="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color w:val="000000" w:themeColor="text1"/>
          <w:kern w:val="2"/>
          <w:sz w:val="21"/>
          <w:szCs w:val="21"/>
          <w:u w:val="none"/>
          <w:shd w:val="clear"/>
          <w:lang w:val="en-US" w:eastAsia="zh-CN" w:bidi="ar-SA"/>
          <w14:textFill>
            <w14:solidFill>
              <w14:schemeClr w14:val="tx1"/>
            </w14:solidFill>
          </w14:textFill>
        </w:rPr>
      </w:pPr>
      <w:r>
        <w:drawing>
          <wp:anchor distT="0" distB="0" distL="114300" distR="114300" simplePos="0" relativeHeight="251665408" behindDoc="0" locked="0" layoutInCell="1" allowOverlap="1">
            <wp:simplePos x="0" y="0"/>
            <wp:positionH relativeFrom="margin">
              <wp:posOffset>152400</wp:posOffset>
            </wp:positionH>
            <wp:positionV relativeFrom="paragraph">
              <wp:posOffset>235585</wp:posOffset>
            </wp:positionV>
            <wp:extent cx="5822315" cy="5626735"/>
            <wp:effectExtent l="0" t="0" r="0" b="0"/>
            <wp:wrapTopAndBottom/>
            <wp:docPr id="24" name="Draw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822315" cy="5626735"/>
                    </a:xfrm>
                    <a:prstGeom prst="rect">
                      <a:avLst/>
                    </a:prstGeom>
                  </pic:spPr>
                </pic:pic>
              </a:graphicData>
            </a:graphic>
          </wp:anchor>
        </w:drawing>
      </w:r>
    </w:p>
    <w:p>
      <w:pPr>
        <w:pStyle w:val="7"/>
        <w:keepNext w:val="0"/>
        <w:keepLines w:val="0"/>
        <w:widowControl w:val="0"/>
        <w:shd w:val="clear" w:color="auto" w:fill="auto"/>
        <w:bidi w:val="0"/>
        <w:spacing w:before="0" w:after="0" w:line="413" w:lineRule="exact"/>
        <w:ind w:left="0" w:right="0" w:firstLine="480"/>
        <w:jc w:val="cente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自动任务区及手动任务区任务位置示意图</w:t>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p>
    <w:p>
      <w:pPr>
        <w:keepNext w:val="0"/>
        <w:keepLines w:val="0"/>
        <w:widowControl w:val="0"/>
        <w:numPr>
          <w:ilvl w:val="0"/>
          <w:numId w:val="0"/>
        </w:numPr>
        <w:shd w:val="clear" w:color="auto" w:fill="auto"/>
        <w:bidi w:val="0"/>
        <w:spacing w:before="0" w:after="0" w:line="360" w:lineRule="auto"/>
        <w:ind w:leftChars="0" w:right="0" w:rightChars="0" w:firstLine="440" w:firstLineChars="20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单场比赛中，战队需完成6个独立任务、3个合作任务，如下表所示：</w:t>
      </w:r>
    </w:p>
    <w:p>
      <w:pPr>
        <w:keepNext w:val="0"/>
        <w:keepLines w:val="0"/>
        <w:widowControl w:val="0"/>
        <w:numPr>
          <w:ilvl w:val="0"/>
          <w:numId w:val="0"/>
        </w:numPr>
        <w:shd w:val="clear" w:color="auto" w:fill="auto"/>
        <w:bidi w:val="0"/>
        <w:spacing w:before="0" w:after="0" w:line="360" w:lineRule="auto"/>
        <w:ind w:leftChars="0" w:right="0" w:rightChars="0" w:firstLine="440" w:firstLineChars="20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p>
    <w:tbl>
      <w:tblPr>
        <w:tblStyle w:val="5"/>
        <w:tblW w:w="0" w:type="auto"/>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 w:type="dxa"/>
          <w:bottom w:w="0" w:type="dxa"/>
          <w:right w:w="10" w:type="dxa"/>
        </w:tblCellMar>
      </w:tblPr>
      <w:tblGrid>
        <w:gridCol w:w="2410"/>
        <w:gridCol w:w="1843"/>
        <w:gridCol w:w="405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00" w:hRule="atLeast"/>
          <w:jc w:val="center"/>
        </w:trPr>
        <w:tc>
          <w:tcPr>
            <w:tcW w:w="2410" w:type="dxa"/>
            <w:vAlign w:val="center"/>
          </w:tcPr>
          <w:p>
            <w:pPr>
              <w:pStyle w:val="19"/>
              <w:ind w:firstLine="0"/>
              <w:jc w:val="center"/>
              <w:rPr>
                <w:rFonts w:hint="eastAsia"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sz w:val="20"/>
                <w:szCs w:val="20"/>
                <w14:textFill>
                  <w14:solidFill>
                    <w14:schemeClr w14:val="tx1"/>
                  </w14:solidFill>
                </w14:textFill>
              </w:rPr>
              <w:t>阶段及时间</w:t>
            </w:r>
          </w:p>
        </w:tc>
        <w:tc>
          <w:tcPr>
            <w:tcW w:w="1843" w:type="dxa"/>
            <w:vAlign w:val="center"/>
          </w:tcPr>
          <w:p>
            <w:pPr>
              <w:jc w:val="center"/>
              <w:rPr>
                <w:rFonts w:hint="eastAsia" w:ascii="仿宋" w:hAnsi="仿宋" w:eastAsia="仿宋" w:cs="仿宋"/>
                <w:b/>
                <w:bCs/>
                <w:color w:val="000000" w:themeColor="text1"/>
                <w:szCs w:val="20"/>
                <w14:textFill>
                  <w14:solidFill>
                    <w14:schemeClr w14:val="tx1"/>
                  </w14:solidFill>
                </w14:textFill>
              </w:rPr>
            </w:pPr>
            <w:r>
              <w:rPr>
                <w:rFonts w:hint="eastAsia" w:ascii="仿宋" w:hAnsi="仿宋" w:eastAsia="仿宋" w:cs="仿宋"/>
                <w:b/>
                <w:bCs/>
                <w:color w:val="000000" w:themeColor="text1"/>
                <w:szCs w:val="20"/>
                <w14:textFill>
                  <w14:solidFill>
                    <w14:schemeClr w14:val="tx1"/>
                  </w14:solidFill>
                </w14:textFill>
              </w:rPr>
              <w:t>任务类型</w:t>
            </w:r>
          </w:p>
        </w:tc>
        <w:tc>
          <w:tcPr>
            <w:tcW w:w="4059" w:type="dxa"/>
            <w:vAlign w:val="center"/>
          </w:tcPr>
          <w:p>
            <w:pPr>
              <w:jc w:val="center"/>
              <w:rPr>
                <w:rFonts w:hint="eastAsia" w:ascii="仿宋" w:hAnsi="仿宋" w:eastAsia="仿宋" w:cs="仿宋"/>
                <w:b/>
                <w:bCs/>
                <w:color w:val="000000" w:themeColor="text1"/>
                <w:szCs w:val="20"/>
                <w14:textFill>
                  <w14:solidFill>
                    <w14:schemeClr w14:val="tx1"/>
                  </w14:solidFill>
                </w14:textFill>
              </w:rPr>
            </w:pPr>
            <w:r>
              <w:rPr>
                <w:rFonts w:hint="eastAsia" w:ascii="仿宋" w:hAnsi="仿宋" w:eastAsia="仿宋" w:cs="仿宋"/>
                <w:b/>
                <w:bCs/>
                <w:color w:val="000000" w:themeColor="text1"/>
                <w:szCs w:val="20"/>
                <w14:textFill>
                  <w14:solidFill>
                    <w14:schemeClr w14:val="tx1"/>
                  </w14:solidFill>
                </w14:textFill>
              </w:rPr>
              <w:t>比赛任务</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00" w:hRule="atLeast"/>
          <w:jc w:val="center"/>
        </w:trPr>
        <w:tc>
          <w:tcPr>
            <w:tcW w:w="2410" w:type="dxa"/>
            <w:vMerge w:val="restart"/>
            <w:vAlign w:val="center"/>
          </w:tcPr>
          <w:p>
            <w:pPr>
              <w:pStyle w:val="19"/>
              <w:ind w:firstLine="0"/>
              <w:jc w:val="center"/>
              <w:rPr>
                <w:rFonts w:hint="eastAsia"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sz w:val="20"/>
                <w:szCs w:val="20"/>
                <w14:textFill>
                  <w14:solidFill>
                    <w14:schemeClr w14:val="tx1"/>
                  </w14:solidFill>
                </w14:textFill>
              </w:rPr>
              <w:t>自动控制阶段</w:t>
            </w:r>
          </w:p>
          <w:p>
            <w:pPr>
              <w:pStyle w:val="19"/>
              <w:ind w:firstLine="0"/>
              <w:jc w:val="center"/>
              <w:rPr>
                <w:rFonts w:hint="eastAsia"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sz w:val="20"/>
                <w:szCs w:val="20"/>
                <w14:textFill>
                  <w14:solidFill>
                    <w14:schemeClr w14:val="tx1"/>
                  </w14:solidFill>
                </w14:textFill>
              </w:rPr>
              <w:t>（x秒，0&lt;x≤240）</w:t>
            </w:r>
          </w:p>
        </w:tc>
        <w:tc>
          <w:tcPr>
            <w:tcW w:w="1843" w:type="dxa"/>
            <w:vMerge w:val="restart"/>
            <w:vAlign w:val="center"/>
          </w:tcPr>
          <w:p>
            <w:pPr>
              <w:pStyle w:val="19"/>
              <w:ind w:firstLine="0"/>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独立任务</w:t>
            </w:r>
          </w:p>
        </w:tc>
        <w:tc>
          <w:tcPr>
            <w:tcW w:w="4059" w:type="dxa"/>
            <w:vAlign w:val="center"/>
          </w:tcPr>
          <w:p>
            <w:pPr>
              <w:pStyle w:val="19"/>
              <w:ind w:firstLine="0"/>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M01 采集量子芯片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00" w:hRule="atLeast"/>
          <w:jc w:val="center"/>
        </w:trPr>
        <w:tc>
          <w:tcPr>
            <w:tcW w:w="2410" w:type="dxa"/>
            <w:vMerge w:val="continue"/>
            <w:vAlign w:val="center"/>
          </w:tcPr>
          <w:p>
            <w:pPr>
              <w:pStyle w:val="19"/>
              <w:ind w:firstLine="0"/>
              <w:jc w:val="center"/>
              <w:rPr>
                <w:rFonts w:hint="eastAsia" w:ascii="仿宋" w:hAnsi="仿宋" w:eastAsia="仿宋" w:cs="仿宋"/>
                <w:b/>
                <w:bCs/>
                <w:color w:val="000000" w:themeColor="text1"/>
                <w:sz w:val="20"/>
                <w:szCs w:val="20"/>
                <w14:textFill>
                  <w14:solidFill>
                    <w14:schemeClr w14:val="tx1"/>
                  </w14:solidFill>
                </w14:textFill>
              </w:rPr>
            </w:pPr>
          </w:p>
        </w:tc>
        <w:tc>
          <w:tcPr>
            <w:tcW w:w="1843" w:type="dxa"/>
            <w:vMerge w:val="continue"/>
            <w:vAlign w:val="center"/>
          </w:tcPr>
          <w:p>
            <w:pPr>
              <w:pStyle w:val="19"/>
              <w:ind w:firstLine="0"/>
              <w:jc w:val="center"/>
              <w:rPr>
                <w:rFonts w:hint="eastAsia" w:ascii="仿宋" w:hAnsi="仿宋" w:eastAsia="仿宋" w:cs="仿宋"/>
                <w:color w:val="000000" w:themeColor="text1"/>
                <w:sz w:val="20"/>
                <w:szCs w:val="20"/>
                <w14:textFill>
                  <w14:solidFill>
                    <w14:schemeClr w14:val="tx1"/>
                  </w14:solidFill>
                </w14:textFill>
              </w:rPr>
            </w:pPr>
          </w:p>
        </w:tc>
        <w:tc>
          <w:tcPr>
            <w:tcW w:w="4059" w:type="dxa"/>
            <w:vAlign w:val="center"/>
          </w:tcPr>
          <w:p>
            <w:pPr>
              <w:pStyle w:val="19"/>
              <w:ind w:firstLine="0"/>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M02 转运量子芯片和有机晶体</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00" w:hRule="atLeast"/>
          <w:jc w:val="center"/>
        </w:trPr>
        <w:tc>
          <w:tcPr>
            <w:tcW w:w="2410" w:type="dxa"/>
            <w:vMerge w:val="continue"/>
            <w:vAlign w:val="center"/>
          </w:tcPr>
          <w:p>
            <w:pPr>
              <w:pStyle w:val="19"/>
              <w:ind w:firstLine="0"/>
              <w:jc w:val="center"/>
              <w:rPr>
                <w:rFonts w:hint="eastAsia" w:ascii="仿宋" w:hAnsi="仿宋" w:eastAsia="仿宋" w:cs="仿宋"/>
                <w:b/>
                <w:bCs/>
                <w:color w:val="000000" w:themeColor="text1"/>
                <w:sz w:val="20"/>
                <w:szCs w:val="20"/>
                <w14:textFill>
                  <w14:solidFill>
                    <w14:schemeClr w14:val="tx1"/>
                  </w14:solidFill>
                </w14:textFill>
              </w:rPr>
            </w:pPr>
          </w:p>
        </w:tc>
        <w:tc>
          <w:tcPr>
            <w:tcW w:w="1843" w:type="dxa"/>
            <w:vMerge w:val="continue"/>
            <w:vAlign w:val="center"/>
          </w:tcPr>
          <w:p>
            <w:pPr>
              <w:pStyle w:val="19"/>
              <w:ind w:firstLine="0"/>
              <w:jc w:val="center"/>
              <w:rPr>
                <w:rFonts w:hint="eastAsia" w:ascii="仿宋" w:hAnsi="仿宋" w:eastAsia="仿宋" w:cs="仿宋"/>
                <w:color w:val="000000" w:themeColor="text1"/>
                <w:sz w:val="20"/>
                <w:szCs w:val="20"/>
                <w14:textFill>
                  <w14:solidFill>
                    <w14:schemeClr w14:val="tx1"/>
                  </w14:solidFill>
                </w14:textFill>
              </w:rPr>
            </w:pPr>
          </w:p>
        </w:tc>
        <w:tc>
          <w:tcPr>
            <w:tcW w:w="4059" w:type="dxa"/>
            <w:vAlign w:val="center"/>
          </w:tcPr>
          <w:p>
            <w:pPr>
              <w:pStyle w:val="19"/>
              <w:ind w:firstLine="0"/>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M03 采集数据块</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00" w:hRule="atLeast"/>
          <w:jc w:val="center"/>
        </w:trPr>
        <w:tc>
          <w:tcPr>
            <w:tcW w:w="2410" w:type="dxa"/>
            <w:vMerge w:val="continue"/>
            <w:vAlign w:val="center"/>
          </w:tcPr>
          <w:p>
            <w:pPr>
              <w:pStyle w:val="19"/>
              <w:ind w:firstLine="0"/>
              <w:jc w:val="center"/>
              <w:rPr>
                <w:rFonts w:hint="eastAsia" w:ascii="仿宋" w:hAnsi="仿宋" w:eastAsia="仿宋" w:cs="仿宋"/>
                <w:b/>
                <w:bCs/>
                <w:color w:val="000000" w:themeColor="text1"/>
                <w:sz w:val="20"/>
                <w:szCs w:val="20"/>
                <w14:textFill>
                  <w14:solidFill>
                    <w14:schemeClr w14:val="tx1"/>
                  </w14:solidFill>
                </w14:textFill>
              </w:rPr>
            </w:pPr>
          </w:p>
        </w:tc>
        <w:tc>
          <w:tcPr>
            <w:tcW w:w="1843" w:type="dxa"/>
            <w:vMerge w:val="continue"/>
            <w:vAlign w:val="center"/>
          </w:tcPr>
          <w:p>
            <w:pPr>
              <w:pStyle w:val="19"/>
              <w:ind w:firstLine="0"/>
              <w:jc w:val="center"/>
              <w:rPr>
                <w:rFonts w:hint="eastAsia" w:ascii="仿宋" w:hAnsi="仿宋" w:eastAsia="仿宋" w:cs="仿宋"/>
                <w:color w:val="000000" w:themeColor="text1"/>
                <w:sz w:val="20"/>
                <w:szCs w:val="20"/>
                <w14:textFill>
                  <w14:solidFill>
                    <w14:schemeClr w14:val="tx1"/>
                  </w14:solidFill>
                </w14:textFill>
              </w:rPr>
            </w:pPr>
          </w:p>
        </w:tc>
        <w:tc>
          <w:tcPr>
            <w:tcW w:w="4059" w:type="dxa"/>
            <w:vAlign w:val="center"/>
          </w:tcPr>
          <w:p>
            <w:pPr>
              <w:pStyle w:val="19"/>
              <w:ind w:firstLine="0"/>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M04 智能制造</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00" w:hRule="atLeast"/>
          <w:jc w:val="center"/>
        </w:trPr>
        <w:tc>
          <w:tcPr>
            <w:tcW w:w="2410" w:type="dxa"/>
            <w:vMerge w:val="continue"/>
            <w:vAlign w:val="center"/>
          </w:tcPr>
          <w:p>
            <w:pPr>
              <w:pStyle w:val="19"/>
              <w:ind w:firstLine="0"/>
              <w:jc w:val="center"/>
              <w:rPr>
                <w:rFonts w:hint="eastAsia" w:ascii="仿宋" w:hAnsi="仿宋" w:eastAsia="仿宋" w:cs="仿宋"/>
                <w:b/>
                <w:bCs/>
                <w:color w:val="000000" w:themeColor="text1"/>
                <w:sz w:val="20"/>
                <w:szCs w:val="20"/>
                <w14:textFill>
                  <w14:solidFill>
                    <w14:schemeClr w14:val="tx1"/>
                  </w14:solidFill>
                </w14:textFill>
              </w:rPr>
            </w:pPr>
          </w:p>
        </w:tc>
        <w:tc>
          <w:tcPr>
            <w:tcW w:w="1843" w:type="dxa"/>
            <w:vMerge w:val="continue"/>
            <w:vAlign w:val="center"/>
          </w:tcPr>
          <w:p>
            <w:pPr>
              <w:pStyle w:val="19"/>
              <w:ind w:firstLine="0"/>
              <w:jc w:val="center"/>
              <w:rPr>
                <w:rFonts w:hint="eastAsia" w:ascii="仿宋" w:hAnsi="仿宋" w:eastAsia="仿宋" w:cs="仿宋"/>
                <w:color w:val="000000" w:themeColor="text1"/>
                <w:sz w:val="20"/>
                <w:szCs w:val="20"/>
                <w14:textFill>
                  <w14:solidFill>
                    <w14:schemeClr w14:val="tx1"/>
                  </w14:solidFill>
                </w14:textFill>
              </w:rPr>
            </w:pPr>
          </w:p>
        </w:tc>
        <w:tc>
          <w:tcPr>
            <w:tcW w:w="4059" w:type="dxa"/>
            <w:vAlign w:val="center"/>
          </w:tcPr>
          <w:p>
            <w:pPr>
              <w:pStyle w:val="19"/>
              <w:ind w:firstLine="0"/>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M05 处理污染物</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00" w:hRule="atLeast"/>
          <w:jc w:val="center"/>
        </w:trPr>
        <w:tc>
          <w:tcPr>
            <w:tcW w:w="2410" w:type="dxa"/>
            <w:vMerge w:val="continue"/>
            <w:vAlign w:val="center"/>
          </w:tcPr>
          <w:p>
            <w:pPr>
              <w:pStyle w:val="19"/>
              <w:ind w:firstLine="0"/>
              <w:jc w:val="center"/>
              <w:rPr>
                <w:rFonts w:hint="eastAsia" w:ascii="仿宋" w:hAnsi="仿宋" w:eastAsia="仿宋" w:cs="仿宋"/>
                <w:b/>
                <w:bCs/>
                <w:color w:val="000000" w:themeColor="text1"/>
                <w:sz w:val="20"/>
                <w:szCs w:val="20"/>
                <w14:textFill>
                  <w14:solidFill>
                    <w14:schemeClr w14:val="tx1"/>
                  </w14:solidFill>
                </w14:textFill>
              </w:rPr>
            </w:pPr>
          </w:p>
        </w:tc>
        <w:tc>
          <w:tcPr>
            <w:tcW w:w="1843" w:type="dxa"/>
            <w:vMerge w:val="continue"/>
            <w:vAlign w:val="center"/>
          </w:tcPr>
          <w:p>
            <w:pPr>
              <w:pStyle w:val="19"/>
              <w:ind w:firstLine="0"/>
              <w:jc w:val="center"/>
              <w:rPr>
                <w:rFonts w:hint="eastAsia" w:ascii="仿宋" w:hAnsi="仿宋" w:eastAsia="仿宋" w:cs="仿宋"/>
                <w:color w:val="000000" w:themeColor="text1"/>
                <w:sz w:val="20"/>
                <w:szCs w:val="20"/>
                <w14:textFill>
                  <w14:solidFill>
                    <w14:schemeClr w14:val="tx1"/>
                  </w14:solidFill>
                </w14:textFill>
              </w:rPr>
            </w:pPr>
          </w:p>
        </w:tc>
        <w:tc>
          <w:tcPr>
            <w:tcW w:w="4059" w:type="dxa"/>
            <w:vAlign w:val="center"/>
          </w:tcPr>
          <w:p>
            <w:pPr>
              <w:pStyle w:val="19"/>
              <w:ind w:firstLine="0"/>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M06 堆放储物仓</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00" w:hRule="atLeast"/>
          <w:jc w:val="center"/>
        </w:trPr>
        <w:tc>
          <w:tcPr>
            <w:tcW w:w="2410" w:type="dxa"/>
            <w:vAlign w:val="center"/>
          </w:tcPr>
          <w:p>
            <w:pPr>
              <w:pStyle w:val="19"/>
              <w:ind w:firstLine="0"/>
              <w:jc w:val="center"/>
              <w:rPr>
                <w:rFonts w:hint="eastAsia"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sz w:val="20"/>
                <w:szCs w:val="20"/>
                <w14:textFill>
                  <w14:solidFill>
                    <w14:schemeClr w14:val="tx1"/>
                  </w14:solidFill>
                </w14:textFill>
              </w:rPr>
              <w:t>自动控制阶段</w:t>
            </w:r>
          </w:p>
          <w:p>
            <w:pPr>
              <w:pStyle w:val="19"/>
              <w:ind w:firstLine="0"/>
              <w:jc w:val="center"/>
              <w:rPr>
                <w:rFonts w:hint="eastAsia"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sz w:val="20"/>
                <w:szCs w:val="20"/>
                <w14:textFill>
                  <w14:solidFill>
                    <w14:schemeClr w14:val="tx1"/>
                  </w14:solidFill>
                </w14:textFill>
              </w:rPr>
              <w:t>（x秒，0&lt;x≤240）</w:t>
            </w:r>
          </w:p>
        </w:tc>
        <w:tc>
          <w:tcPr>
            <w:tcW w:w="1843" w:type="dxa"/>
            <w:vMerge w:val="restart"/>
            <w:vAlign w:val="center"/>
          </w:tcPr>
          <w:p>
            <w:pPr>
              <w:pStyle w:val="19"/>
              <w:ind w:firstLine="0"/>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lang w:val="en-US" w:eastAsia="zh-CN"/>
                <w14:textFill>
                  <w14:solidFill>
                    <w14:schemeClr w14:val="tx1"/>
                  </w14:solidFill>
                </w14:textFill>
              </w:rPr>
              <w:t>合作</w:t>
            </w:r>
            <w:r>
              <w:rPr>
                <w:rFonts w:hint="eastAsia" w:ascii="仿宋" w:hAnsi="仿宋" w:eastAsia="仿宋" w:cs="仿宋"/>
                <w:color w:val="000000" w:themeColor="text1"/>
                <w:sz w:val="20"/>
                <w:szCs w:val="20"/>
                <w14:textFill>
                  <w14:solidFill>
                    <w14:schemeClr w14:val="tx1"/>
                  </w14:solidFill>
                </w14:textFill>
              </w:rPr>
              <w:t>任务</w:t>
            </w:r>
          </w:p>
        </w:tc>
        <w:tc>
          <w:tcPr>
            <w:tcW w:w="4059" w:type="dxa"/>
            <w:vAlign w:val="center"/>
          </w:tcPr>
          <w:p>
            <w:pPr>
              <w:pStyle w:val="19"/>
              <w:ind w:firstLine="0"/>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M07 点燃反物质燃料棒</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00" w:hRule="atLeast"/>
          <w:jc w:val="center"/>
        </w:trPr>
        <w:tc>
          <w:tcPr>
            <w:tcW w:w="2410" w:type="dxa"/>
            <w:vMerge w:val="restart"/>
            <w:vAlign w:val="center"/>
          </w:tcPr>
          <w:p>
            <w:pPr>
              <w:pStyle w:val="19"/>
              <w:ind w:firstLine="0"/>
              <w:jc w:val="center"/>
              <w:rPr>
                <w:rFonts w:hint="eastAsia"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sz w:val="20"/>
                <w:szCs w:val="20"/>
                <w14:textFill>
                  <w14:solidFill>
                    <w14:schemeClr w14:val="tx1"/>
                  </w14:solidFill>
                </w14:textFill>
              </w:rPr>
              <w:t xml:space="preserve">手动控制阶段 </w:t>
            </w:r>
          </w:p>
          <w:p>
            <w:pPr>
              <w:pStyle w:val="19"/>
              <w:ind w:firstLine="0"/>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b/>
                <w:bCs/>
                <w:color w:val="000000" w:themeColor="text1"/>
                <w:sz w:val="20"/>
                <w:szCs w:val="20"/>
                <w14:textFill>
                  <w14:solidFill>
                    <w14:schemeClr w14:val="tx1"/>
                  </w14:solidFill>
                </w14:textFill>
              </w:rPr>
              <w:t>（240-x 秒）</w:t>
            </w:r>
          </w:p>
        </w:tc>
        <w:tc>
          <w:tcPr>
            <w:tcW w:w="1843" w:type="dxa"/>
            <w:vMerge w:val="continue"/>
            <w:vAlign w:val="center"/>
          </w:tcPr>
          <w:p>
            <w:pPr>
              <w:pStyle w:val="19"/>
              <w:ind w:firstLine="0"/>
              <w:jc w:val="center"/>
              <w:rPr>
                <w:rFonts w:hint="eastAsia" w:ascii="仿宋" w:hAnsi="仿宋" w:eastAsia="仿宋" w:cs="仿宋"/>
                <w:color w:val="000000" w:themeColor="text1"/>
                <w:sz w:val="20"/>
                <w:szCs w:val="20"/>
                <w14:textFill>
                  <w14:solidFill>
                    <w14:schemeClr w14:val="tx1"/>
                  </w14:solidFill>
                </w14:textFill>
              </w:rPr>
            </w:pPr>
          </w:p>
        </w:tc>
        <w:tc>
          <w:tcPr>
            <w:tcW w:w="4059" w:type="dxa"/>
            <w:vAlign w:val="center"/>
          </w:tcPr>
          <w:p>
            <w:pPr>
              <w:pStyle w:val="19"/>
              <w:ind w:firstLine="0"/>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M08 运转矩阵研究站</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00" w:hRule="atLeast"/>
          <w:jc w:val="center"/>
        </w:trPr>
        <w:tc>
          <w:tcPr>
            <w:tcW w:w="2410" w:type="dxa"/>
            <w:vMerge w:val="continue"/>
            <w:vAlign w:val="center"/>
          </w:tcPr>
          <w:p>
            <w:pPr>
              <w:pStyle w:val="19"/>
              <w:ind w:firstLine="0"/>
              <w:jc w:val="center"/>
              <w:rPr>
                <w:rFonts w:hint="eastAsia" w:ascii="仿宋" w:hAnsi="仿宋" w:eastAsia="仿宋" w:cs="仿宋"/>
                <w:color w:val="000000" w:themeColor="text1"/>
                <w:sz w:val="20"/>
                <w:szCs w:val="20"/>
                <w14:textFill>
                  <w14:solidFill>
                    <w14:schemeClr w14:val="tx1"/>
                  </w14:solidFill>
                </w14:textFill>
              </w:rPr>
            </w:pPr>
          </w:p>
        </w:tc>
        <w:tc>
          <w:tcPr>
            <w:tcW w:w="1843" w:type="dxa"/>
            <w:vMerge w:val="continue"/>
            <w:vAlign w:val="center"/>
          </w:tcPr>
          <w:p>
            <w:pPr>
              <w:pStyle w:val="19"/>
              <w:ind w:firstLine="0"/>
              <w:jc w:val="center"/>
              <w:rPr>
                <w:rFonts w:hint="eastAsia" w:ascii="仿宋" w:hAnsi="仿宋" w:eastAsia="仿宋" w:cs="仿宋"/>
                <w:color w:val="000000" w:themeColor="text1"/>
                <w:sz w:val="20"/>
                <w:szCs w:val="20"/>
                <w14:textFill>
                  <w14:solidFill>
                    <w14:schemeClr w14:val="tx1"/>
                  </w14:solidFill>
                </w14:textFill>
              </w:rPr>
            </w:pPr>
          </w:p>
        </w:tc>
        <w:tc>
          <w:tcPr>
            <w:tcW w:w="4059" w:type="dxa"/>
            <w:vAlign w:val="center"/>
          </w:tcPr>
          <w:p>
            <w:pPr>
              <w:pStyle w:val="19"/>
              <w:ind w:firstLine="0"/>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M09 摆放战队标记物</w:t>
            </w:r>
          </w:p>
        </w:tc>
      </w:tr>
    </w:tbl>
    <w:p>
      <w:pPr>
        <w:pStyle w:val="7"/>
        <w:keepNext w:val="0"/>
        <w:keepLines w:val="0"/>
        <w:widowControl w:val="0"/>
        <w:numPr>
          <w:ilvl w:val="0"/>
          <w:numId w:val="0"/>
        </w:numPr>
        <w:shd w:val="clear" w:color="auto" w:fill="auto"/>
        <w:bidi w:val="0"/>
        <w:spacing w:before="0" w:after="0" w:line="413" w:lineRule="exact"/>
        <w:ind w:leftChars="0" w:right="0" w:rightChars="0"/>
        <w:jc w:val="left"/>
        <w:rPr>
          <w:rFonts w:hint="default" w:ascii="黑体" w:hAnsi="黑体" w:eastAsia="黑体" w:cs="黑体"/>
          <w:i w:val="0"/>
          <w:iCs w:val="0"/>
          <w:color w:val="000000" w:themeColor="text1"/>
          <w:kern w:val="2"/>
          <w:sz w:val="21"/>
          <w:szCs w:val="21"/>
          <w:u w:val="none"/>
          <w:shd w:val="clear"/>
          <w:lang w:val="en-US" w:eastAsia="zh-CN" w:bidi="ar-SA"/>
          <w14:textFill>
            <w14:solidFill>
              <w14:schemeClr w14:val="tx1"/>
            </w14:solidFill>
          </w14:textFill>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p>
    <w:p>
      <w:pPr>
        <w:keepNext w:val="0"/>
        <w:keepLines w:val="0"/>
        <w:widowControl w:val="0"/>
        <w:numPr>
          <w:ilvl w:val="0"/>
          <w:numId w:val="0"/>
        </w:numPr>
        <w:shd w:val="clear" w:color="auto" w:fill="auto"/>
        <w:bidi w:val="0"/>
        <w:spacing w:before="0" w:after="0" w:line="360" w:lineRule="auto"/>
        <w:ind w:left="0" w:right="0" w:firstLine="422" w:firstLineChars="20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r>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t>M01 采集量子芯片</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任务类型</w:t>
      </w: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：独立任务</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任务内容：</w:t>
      </w: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量子芯片是传感器的类型之一，量子芯片是智慧工厂中基础的设备之一，负责采集各种工厂数据，如温度、湿度、压力、振动、电量等，并将这些数据通过互联网传输到工厂数字化管理系统中，利用传感器监测工厂状态。机器人将摆放在起始区域的量子芯片（黄色字母方块）和有机晶体（黄色方块）完全移出起始区域，移出方块的过程中，方块的底座也需要一并移出。</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初始状态：</w:t>
      </w: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黄色字母方块摆放在红方或蓝方的任务初始区域，由红蓝双方在赛前商议确定。任务初始区域共有4个位置，本方黄色字母方块（K朝上）或黄色方块及其底座的摆放位置由现场抽签确定，其中一种摆放方式如下图，该得分道具不进行粘贴固定。</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p>
    <w:p>
      <w:pPr>
        <w:pStyle w:val="7"/>
        <w:keepNext w:val="0"/>
        <w:keepLines w:val="0"/>
        <w:widowControl w:val="0"/>
        <w:shd w:val="clear" w:color="auto" w:fill="auto"/>
        <w:bidi w:val="0"/>
        <w:spacing w:before="0" w:after="0" w:line="413" w:lineRule="exact"/>
        <w:ind w:left="0" w:right="0" w:firstLine="480"/>
        <w:jc w:val="cente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r>
        <w:drawing>
          <wp:anchor distT="0" distB="0" distL="114300" distR="114300" simplePos="0" relativeHeight="251666432" behindDoc="0" locked="0" layoutInCell="1" allowOverlap="1">
            <wp:simplePos x="0" y="0"/>
            <wp:positionH relativeFrom="margin">
              <wp:posOffset>1774825</wp:posOffset>
            </wp:positionH>
            <wp:positionV relativeFrom="paragraph">
              <wp:posOffset>-123190</wp:posOffset>
            </wp:positionV>
            <wp:extent cx="2009140" cy="1915795"/>
            <wp:effectExtent l="0" t="0" r="2540" b="4445"/>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09140" cy="1915795"/>
                    </a:xfrm>
                    <a:prstGeom prst="rect">
                      <a:avLst/>
                    </a:prstGeom>
                    <a:noFill/>
                    <a:ln>
                      <a:noFill/>
                    </a:ln>
                  </pic:spPr>
                </pic:pic>
              </a:graphicData>
            </a:graphic>
          </wp:anchor>
        </w:drawing>
      </w:r>
      <w: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t>M01 任务位置示意图</w:t>
      </w:r>
    </w:p>
    <w:p>
      <w:pPr>
        <w:pStyle w:val="7"/>
        <w:keepNext w:val="0"/>
        <w:keepLines w:val="0"/>
        <w:widowControl w:val="0"/>
        <w:shd w:val="clear" w:color="auto" w:fill="auto"/>
        <w:bidi w:val="0"/>
        <w:spacing w:before="0" w:after="0" w:line="413" w:lineRule="exact"/>
        <w:ind w:left="0" w:right="0" w:firstLine="0"/>
        <w:jc w:val="cente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0"/>
          <w:sz w:val="22"/>
          <w:szCs w:val="22"/>
          <w:u w:val="none"/>
          <w:shd w:val="clear"/>
          <w:lang w:val="en-US" w:eastAsia="zh-CN" w:bidi="ar-SA"/>
        </w:rPr>
      </w:pPr>
      <w:r>
        <w:rPr>
          <w:rFonts w:hint="eastAsia" w:ascii="仿宋" w:hAnsi="仿宋" w:eastAsia="仿宋" w:cs="仿宋"/>
          <w:b/>
          <w:bCs/>
          <w:i w:val="0"/>
          <w:iCs w:val="0"/>
          <w:color w:val="auto"/>
          <w:kern w:val="0"/>
          <w:sz w:val="22"/>
          <w:szCs w:val="22"/>
          <w:u w:val="none"/>
          <w:shd w:val="clear"/>
          <w:lang w:val="en-US" w:eastAsia="zh-CN" w:bidi="ar-SA"/>
        </w:rPr>
        <w:t>任务分值：</w:t>
      </w:r>
      <w:r>
        <w:rPr>
          <w:rFonts w:hint="eastAsia" w:ascii="仿宋" w:hAnsi="仿宋" w:eastAsia="仿宋" w:cs="仿宋"/>
          <w:i w:val="0"/>
          <w:iCs w:val="0"/>
          <w:color w:val="auto"/>
          <w:kern w:val="0"/>
          <w:sz w:val="22"/>
          <w:szCs w:val="22"/>
          <w:u w:val="none"/>
          <w:shd w:val="clear"/>
          <w:lang w:val="en-US" w:eastAsia="zh-CN" w:bidi="ar-SA"/>
        </w:rPr>
        <w:t>每成功移出一个方块，计20分。</w:t>
      </w:r>
    </w:p>
    <w:p>
      <w:pPr>
        <w:pStyle w:val="7"/>
        <w:keepNext w:val="0"/>
        <w:keepLines w:val="0"/>
        <w:widowControl w:val="0"/>
        <w:numPr>
          <w:ilvl w:val="-1"/>
          <w:numId w:val="0"/>
        </w:numPr>
        <w:shd w:val="clear" w:color="auto" w:fill="auto"/>
        <w:bidi w:val="0"/>
        <w:spacing w:before="0" w:after="0" w:line="413" w:lineRule="exact"/>
        <w:ind w:left="0" w:leftChars="0" w:right="0" w:rightChars="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得分判定：</w:t>
      </w: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自动控制阶段结束后的计分时刻：</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a.黄色方块（包括底座）的垂直投影完全离开初始区域；</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b.黄色方块（包括底座）须完全位于场地内；</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c.黄色方块与底座不分离；</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d.黄色方块（包括底座）与机器人无接触；</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以上判定均满足，则对应的黄色方块得分。</w:t>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场地：</w:t>
      </w: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包括地图以及场地边框内侧和上表面，不包括场地边框外表面、桌面、地面等。</w:t>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r>
        <w:rPr>
          <w:color w:val="000000" w:themeColor="text1"/>
          <w:szCs w:val="24"/>
          <w14:textFill>
            <w14:solidFill>
              <w14:schemeClr w14:val="tx1"/>
            </w14:solidFill>
          </w14:textFill>
        </w:rPr>
        <w:drawing>
          <wp:anchor distT="0" distB="0" distL="114300" distR="114300" simplePos="0" relativeHeight="251662336" behindDoc="0" locked="0" layoutInCell="1" allowOverlap="1">
            <wp:simplePos x="0" y="0"/>
            <wp:positionH relativeFrom="margin">
              <wp:posOffset>309880</wp:posOffset>
            </wp:positionH>
            <wp:positionV relativeFrom="paragraph">
              <wp:posOffset>280035</wp:posOffset>
            </wp:positionV>
            <wp:extent cx="5278120" cy="1261745"/>
            <wp:effectExtent l="0" t="0" r="10160" b="0"/>
            <wp:wrapTopAndBottom/>
            <wp:docPr id="5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8120" cy="1261745"/>
                    </a:xfrm>
                    <a:prstGeom prst="rect">
                      <a:avLst/>
                    </a:prstGeom>
                  </pic:spPr>
                </pic:pic>
              </a:graphicData>
            </a:graphic>
          </wp:anchor>
        </w:drawing>
      </w:r>
    </w:p>
    <w:p>
      <w:pPr>
        <w:pStyle w:val="7"/>
        <w:keepNext w:val="0"/>
        <w:keepLines w:val="0"/>
        <w:widowControl w:val="0"/>
        <w:shd w:val="clear" w:color="auto" w:fill="auto"/>
        <w:bidi w:val="0"/>
        <w:spacing w:before="0" w:after="0" w:line="413" w:lineRule="exact"/>
        <w:ind w:left="0" w:right="0" w:firstLine="0"/>
        <w:jc w:val="center"/>
        <w:rPr>
          <w:rFonts w:hint="default" w:ascii="黑体" w:hAnsi="黑体" w:eastAsia="黑体" w:cs="黑体"/>
          <w:i w:val="0"/>
          <w:iCs w:val="0"/>
          <w:color w:val="000000" w:themeColor="text1"/>
          <w:kern w:val="2"/>
          <w:sz w:val="21"/>
          <w:szCs w:val="21"/>
          <w:u w:val="none"/>
          <w:shd w:val="clear"/>
          <w:lang w:val="en-US" w:eastAsia="zh-CN" w:bidi="ar-SA"/>
          <w14:textFill>
            <w14:solidFill>
              <w14:schemeClr w14:val="tx1"/>
            </w14:solidFill>
          </w14:textFill>
        </w:rPr>
      </w:pPr>
      <w: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t>M01 任务得分判定图</w:t>
      </w:r>
    </w:p>
    <w:p>
      <w:pPr>
        <w:keepNext w:val="0"/>
        <w:keepLines w:val="0"/>
        <w:widowControl w:val="0"/>
        <w:numPr>
          <w:ilvl w:val="0"/>
          <w:numId w:val="0"/>
        </w:numPr>
        <w:shd w:val="clear" w:color="auto" w:fill="auto"/>
        <w:bidi w:val="0"/>
        <w:spacing w:before="0" w:after="0" w:line="360" w:lineRule="auto"/>
        <w:ind w:left="0" w:right="0" w:firstLine="422" w:firstLineChars="20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r>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t>M02转运量子芯片和有机晶体</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任务类型</w:t>
      </w: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：独立任务</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任务内容：</w:t>
      </w: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智慧物流可以有效提高工厂物流的速度和准确度，机器人需要将有机晶体或量子芯片连同底座，利用高速分拣器（转运滑轨装置）转运至待转移区域，并确保成品货物和传感器牢固地固定在输送的滑车上。</w:t>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初始状态</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w:t>
      </w: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转运滑轨装置固定在手动任务区与自动任务区中央的扁铝上方，靠近中央与扁铝连接处的八棱柱，滑轨位置指向图中虚线框的中央，滑车部分完全位于自动任务区内，而滑轨装置倾斜位于手动任务区内，滑车部分配备了磁铁，以确保方块底座与滑车部分之间的连接。任务的得分道具源于任务M01的黄色字母方块或黄色方块（包括底座）。</w:t>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color w:val="000000" w:themeColor="text1"/>
          <w:kern w:val="2"/>
          <w:sz w:val="21"/>
          <w:szCs w:val="21"/>
          <w:u w:val="none"/>
          <w:shd w:val="clear"/>
          <w:lang w:val="en-US" w:eastAsia="zh-CN" w:bidi="ar-SA"/>
          <w14:textFill>
            <w14:solidFill>
              <w14:schemeClr w14:val="tx1"/>
            </w14:solidFill>
          </w14:textFill>
        </w:rPr>
      </w:pPr>
      <w:r>
        <w:rPr>
          <w:color w:val="auto"/>
          <w:szCs w:val="24"/>
        </w:rPr>
        <w:drawing>
          <wp:anchor distT="0" distB="0" distL="114300" distR="114300" simplePos="0" relativeHeight="251667456" behindDoc="0" locked="0" layoutInCell="1" allowOverlap="1">
            <wp:simplePos x="0" y="0"/>
            <wp:positionH relativeFrom="margin">
              <wp:posOffset>506095</wp:posOffset>
            </wp:positionH>
            <wp:positionV relativeFrom="paragraph">
              <wp:posOffset>251460</wp:posOffset>
            </wp:positionV>
            <wp:extent cx="4700905" cy="1959610"/>
            <wp:effectExtent l="0" t="0" r="8255" b="6350"/>
            <wp:wrapTopAndBottom/>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700905" cy="1959610"/>
                    </a:xfrm>
                    <a:prstGeom prst="rect">
                      <a:avLst/>
                    </a:prstGeom>
                  </pic:spPr>
                </pic:pic>
              </a:graphicData>
            </a:graphic>
          </wp:anchor>
        </w:drawing>
      </w:r>
    </w:p>
    <w:p>
      <w:pPr>
        <w:pStyle w:val="7"/>
        <w:keepNext w:val="0"/>
        <w:keepLines w:val="0"/>
        <w:widowControl w:val="0"/>
        <w:shd w:val="clear" w:color="auto" w:fill="auto"/>
        <w:bidi w:val="0"/>
        <w:spacing w:before="0" w:after="0" w:line="413" w:lineRule="exact"/>
        <w:ind w:right="0"/>
        <w:jc w:val="center"/>
        <w:rPr>
          <w:rFonts w:hint="eastAsia" w:ascii="黑体" w:hAnsi="黑体" w:eastAsia="黑体" w:cs="黑体"/>
          <w:i w:val="0"/>
          <w:iCs w:val="0"/>
          <w:color w:val="000000" w:themeColor="text1"/>
          <w:kern w:val="2"/>
          <w:sz w:val="21"/>
          <w:szCs w:val="21"/>
          <w:u w:val="none"/>
          <w:shd w:val="clear"/>
          <w:lang w:val="en-US" w:eastAsia="zh-CN" w:bidi="ar-SA"/>
          <w14:textFill>
            <w14:solidFill>
              <w14:schemeClr w14:val="tx1"/>
            </w14:solidFill>
          </w14:textFill>
        </w:rPr>
      </w:pPr>
      <w: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t>M02 任务位置示意图</w:t>
      </w:r>
    </w:p>
    <w:p>
      <w:pPr>
        <w:pStyle w:val="7"/>
        <w:keepNext w:val="0"/>
        <w:keepLines w:val="0"/>
        <w:widowControl w:val="0"/>
        <w:shd w:val="clear" w:color="auto" w:fill="auto"/>
        <w:bidi w:val="0"/>
        <w:spacing w:before="0" w:after="0" w:line="413" w:lineRule="exact"/>
        <w:ind w:right="0"/>
        <w:jc w:val="center"/>
        <w:rPr>
          <w:rFonts w:hint="default" w:ascii="黑体" w:hAnsi="黑体" w:eastAsia="黑体" w:cs="黑体"/>
          <w:i w:val="0"/>
          <w:iCs w:val="0"/>
          <w:color w:val="000000" w:themeColor="text1"/>
          <w:kern w:val="2"/>
          <w:sz w:val="21"/>
          <w:szCs w:val="21"/>
          <w:u w:val="none"/>
          <w:shd w:val="clear"/>
          <w:lang w:val="en-US" w:eastAsia="zh-CN" w:bidi="ar-SA"/>
          <w14:textFill>
            <w14:solidFill>
              <w14:schemeClr w14:val="tx1"/>
            </w14:solidFill>
          </w14:textFill>
        </w:rPr>
      </w:pP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任务分值：</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成功运送至手动区域内的黄色字母方块或黄色方块（包括底座），计30分。</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drawing>
          <wp:anchor distT="0" distB="0" distL="114300" distR="114300" simplePos="0" relativeHeight="251668480" behindDoc="0" locked="0" layoutInCell="1" allowOverlap="1">
            <wp:simplePos x="0" y="0"/>
            <wp:positionH relativeFrom="margin">
              <wp:posOffset>1135380</wp:posOffset>
            </wp:positionH>
            <wp:positionV relativeFrom="paragraph">
              <wp:posOffset>1567180</wp:posOffset>
            </wp:positionV>
            <wp:extent cx="3439160" cy="1619250"/>
            <wp:effectExtent l="0" t="0" r="5080" b="11430"/>
            <wp:wrapTopAndBottom/>
            <wp:docPr id="58" name="Draw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31"/>
                    <pic:cNvPicPr>
                      <a:picLocks noChangeAspect="1"/>
                    </pic:cNvPicPr>
                  </pic:nvPicPr>
                  <pic:blipFill>
                    <a:blip r:embed="rId26" cstate="print">
                      <a:extLst>
                        <a:ext uri="{28A0092B-C50C-407E-A947-70E740481C1C}">
                          <a14:useLocalDpi xmlns:a14="http://schemas.microsoft.com/office/drawing/2010/main" val="0"/>
                        </a:ext>
                      </a:extLst>
                    </a:blip>
                    <a:srcRect t="9859" b="27361"/>
                    <a:stretch>
                      <a:fillRect/>
                    </a:stretch>
                  </pic:blipFill>
                  <pic:spPr>
                    <a:xfrm>
                      <a:off x="0" y="0"/>
                      <a:ext cx="3439160" cy="1619250"/>
                    </a:xfrm>
                    <a:prstGeom prst="rect">
                      <a:avLst/>
                    </a:prstGeom>
                    <a:ln>
                      <a:noFill/>
                    </a:ln>
                  </pic:spPr>
                </pic:pic>
              </a:graphicData>
            </a:graphic>
          </wp:anchor>
        </w:drawing>
      </w: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得分判定：</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自动控制阶段结束后的计分时刻：</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a.黄色字母方块或黄色方块（包括底座）及滑车垂直投影完全位于手动区域；</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b.黄色字母方块或黄色方块（包括底座）吸附于滑车上未脱落；</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c.机器人与转运滑轨装置及黄色字母方块或黄色方块（包括底座）无直接接触；</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以上判定均满足，则对应的黄色字母方块或黄色方块得分。</w:t>
      </w:r>
    </w:p>
    <w:p>
      <w:pPr>
        <w:pStyle w:val="7"/>
        <w:keepNext w:val="0"/>
        <w:keepLines w:val="0"/>
        <w:widowControl w:val="0"/>
        <w:shd w:val="clear" w:color="auto" w:fill="auto"/>
        <w:bidi w:val="0"/>
        <w:spacing w:before="0" w:after="0" w:line="413" w:lineRule="exact"/>
        <w:ind w:right="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p>
    <w:p>
      <w:pPr>
        <w:pStyle w:val="7"/>
        <w:keepNext w:val="0"/>
        <w:keepLines w:val="0"/>
        <w:widowControl w:val="0"/>
        <w:shd w:val="clear" w:color="auto" w:fill="auto"/>
        <w:bidi w:val="0"/>
        <w:spacing w:before="0" w:after="0" w:line="413" w:lineRule="exact"/>
        <w:ind w:left="0" w:right="0" w:firstLine="480"/>
        <w:jc w:val="cente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M02任务得分判定图</w:t>
      </w:r>
    </w:p>
    <w:p>
      <w:pPr>
        <w:pStyle w:val="7"/>
        <w:keepNext w:val="0"/>
        <w:keepLines w:val="0"/>
        <w:widowControl w:val="0"/>
        <w:shd w:val="clear" w:color="auto" w:fill="auto"/>
        <w:bidi w:val="0"/>
        <w:spacing w:before="0" w:after="0" w:line="413" w:lineRule="exact"/>
        <w:ind w:left="0" w:right="0" w:firstLine="480"/>
        <w:jc w:val="cente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p>
    <w:p>
      <w:pPr>
        <w:keepNext w:val="0"/>
        <w:keepLines w:val="0"/>
        <w:widowControl w:val="0"/>
        <w:numPr>
          <w:ilvl w:val="0"/>
          <w:numId w:val="0"/>
        </w:numPr>
        <w:shd w:val="clear" w:color="auto" w:fill="auto"/>
        <w:bidi w:val="0"/>
        <w:spacing w:before="0" w:after="0" w:line="360" w:lineRule="auto"/>
        <w:ind w:left="0" w:right="0" w:firstLine="422" w:firstLineChars="20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r>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t>M03采集数据块</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任务类型：</w:t>
      </w: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独立任务</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任务内容：</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制造中产生的废物废水需要净化处理，工厂的自动化运转也需要数据块的支持。机器人利用物流配送器（方块推离装置），获取蓝色数据块和红色数据块，分类处理生产过程中产生的污染物利用物流配送器，对工厂的成品、污染物、芯片分类，获取更多环保数据块。</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初始状态：</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物流配送器位于红蓝双方场地启动区的左上角。每个装置平台上都放置有一个红色或蓝色字母方块，其放置方块的平台具有一个开放的面，朝向手动区域。物流配送器底座的两根双孔梁通过磁铁吸附并固定在地图上。物流配送器摆放位置如图所示（以蓝方为例），地图上的磁条标识如图所示（标记为a、b、c），物流配送器底座上的圆磁片标识如下图（标记为A、B、C），其中，圆磁片A需放置于磁条a上标注的红点，圆磁片B放置于磁条b上，圆磁片C放置于磁条c上。</w:t>
      </w:r>
    </w:p>
    <w:p>
      <w:pPr>
        <w:pStyle w:val="7"/>
        <w:keepNext w:val="0"/>
        <w:keepLines w:val="0"/>
        <w:widowControl w:val="0"/>
        <w:shd w:val="clear" w:color="auto" w:fill="auto"/>
        <w:bidi w:val="0"/>
        <w:spacing w:before="0" w:after="0" w:line="413" w:lineRule="exact"/>
        <w:ind w:left="0" w:right="0" w:firstLine="480"/>
        <w:jc w:val="left"/>
        <w:rPr>
          <w:rFonts w:hint="default" w:ascii="黑体" w:hAnsi="黑体" w:eastAsia="黑体" w:cs="黑体"/>
          <w:i w:val="0"/>
          <w:iCs w:val="0"/>
          <w:color w:val="000000" w:themeColor="text1"/>
          <w:kern w:val="2"/>
          <w:sz w:val="21"/>
          <w:szCs w:val="21"/>
          <w:u w:val="none"/>
          <w:shd w:val="clear"/>
          <w:lang w:val="en-US" w:eastAsia="zh-CN" w:bidi="ar-SA"/>
          <w14:textFill>
            <w14:solidFill>
              <w14:schemeClr w14:val="tx1"/>
            </w14:solidFill>
          </w14:textFill>
        </w:rPr>
      </w:pPr>
      <w:r>
        <w:rPr>
          <w:color w:val="auto"/>
          <w:szCs w:val="24"/>
        </w:rPr>
        <w:drawing>
          <wp:anchor distT="0" distB="0" distL="114300" distR="114300" simplePos="0" relativeHeight="251669504" behindDoc="0" locked="0" layoutInCell="1" allowOverlap="1">
            <wp:simplePos x="0" y="0"/>
            <wp:positionH relativeFrom="margin">
              <wp:posOffset>1615440</wp:posOffset>
            </wp:positionH>
            <wp:positionV relativeFrom="paragraph">
              <wp:posOffset>118745</wp:posOffset>
            </wp:positionV>
            <wp:extent cx="2495550" cy="1231265"/>
            <wp:effectExtent l="0" t="0" r="3810" b="3175"/>
            <wp:wrapTopAndBottom/>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95550" cy="1231265"/>
                    </a:xfrm>
                    <a:prstGeom prst="rect">
                      <a:avLst/>
                    </a:prstGeom>
                  </pic:spPr>
                </pic:pic>
              </a:graphicData>
            </a:graphic>
          </wp:anchor>
        </w:drawing>
      </w:r>
    </w:p>
    <w:p>
      <w:pPr>
        <w:pStyle w:val="7"/>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r>
        <w:rPr>
          <w:bCs/>
          <w:color w:val="auto"/>
        </w:rPr>
        <w:drawing>
          <wp:anchor distT="0" distB="0" distL="114300" distR="114300" simplePos="0" relativeHeight="251670528" behindDoc="0" locked="0" layoutInCell="1" allowOverlap="1">
            <wp:simplePos x="0" y="0"/>
            <wp:positionH relativeFrom="margin">
              <wp:posOffset>121285</wp:posOffset>
            </wp:positionH>
            <wp:positionV relativeFrom="paragraph">
              <wp:posOffset>165100</wp:posOffset>
            </wp:positionV>
            <wp:extent cx="5278120" cy="2212340"/>
            <wp:effectExtent l="0" t="0" r="10795" b="0"/>
            <wp:wrapTopAndBottom/>
            <wp:docPr id="1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8120" cy="2212340"/>
                    </a:xfrm>
                    <a:prstGeom prst="rect">
                      <a:avLst/>
                    </a:prstGeom>
                  </pic:spPr>
                </pic:pic>
              </a:graphicData>
            </a:graphic>
          </wp:anchor>
        </w:drawing>
      </w:r>
    </w:p>
    <w:p>
      <w:pPr>
        <w:pStyle w:val="7"/>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t>M03 任务初始位置示意图</w:t>
      </w:r>
    </w:p>
    <w:p>
      <w:pPr>
        <w:pStyle w:val="7"/>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p>
    <w:p>
      <w:pPr>
        <w:pStyle w:val="7"/>
        <w:keepNext w:val="0"/>
        <w:keepLines w:val="0"/>
        <w:widowControl w:val="0"/>
        <w:numPr>
          <w:ilvl w:val="0"/>
          <w:numId w:val="0"/>
        </w:numPr>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任务分值：</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 xml:space="preserve">每成功从高台上移出一个红色或蓝色字母方块，计30分； </w:t>
      </w:r>
    </w:p>
    <w:p>
      <w:pPr>
        <w:pStyle w:val="7"/>
        <w:keepNext w:val="0"/>
        <w:keepLines w:val="0"/>
        <w:widowControl w:val="0"/>
        <w:numPr>
          <w:ilvl w:val="0"/>
          <w:numId w:val="0"/>
        </w:numPr>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得分判定：</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自动控制阶段结束后的计分时刻：</w:t>
      </w:r>
    </w:p>
    <w:p>
      <w:pPr>
        <w:pStyle w:val="7"/>
        <w:keepNext w:val="0"/>
        <w:keepLines w:val="0"/>
        <w:widowControl w:val="0"/>
        <w:numPr>
          <w:ilvl w:val="0"/>
          <w:numId w:val="0"/>
        </w:numPr>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a.红色或蓝色字母方块垂直投影完全位于手动任务区内；</w:t>
      </w:r>
    </w:p>
    <w:p>
      <w:pPr>
        <w:pStyle w:val="7"/>
        <w:keepNext w:val="0"/>
        <w:keepLines w:val="0"/>
        <w:widowControl w:val="0"/>
        <w:numPr>
          <w:ilvl w:val="0"/>
          <w:numId w:val="0"/>
        </w:numPr>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b.红色或蓝色字母方块与方块推离装置无直接接触；</w:t>
      </w:r>
    </w:p>
    <w:p>
      <w:pPr>
        <w:pStyle w:val="7"/>
        <w:keepNext w:val="0"/>
        <w:keepLines w:val="0"/>
        <w:widowControl w:val="0"/>
        <w:numPr>
          <w:ilvl w:val="0"/>
          <w:numId w:val="0"/>
        </w:numPr>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c.红色或蓝色字母方块与机器人无直接接触；</w:t>
      </w:r>
    </w:p>
    <w:p>
      <w:pPr>
        <w:pStyle w:val="7"/>
        <w:keepNext w:val="0"/>
        <w:keepLines w:val="0"/>
        <w:widowControl w:val="0"/>
        <w:numPr>
          <w:ilvl w:val="0"/>
          <w:numId w:val="0"/>
        </w:numPr>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d.方块推离装置保持直立状态；</w:t>
      </w:r>
    </w:p>
    <w:p>
      <w:pPr>
        <w:pStyle w:val="7"/>
        <w:keepNext w:val="0"/>
        <w:keepLines w:val="0"/>
        <w:widowControl w:val="0"/>
        <w:numPr>
          <w:ilvl w:val="0"/>
          <w:numId w:val="0"/>
        </w:numPr>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以上判定均满足，则对应的红色或蓝色字母方块得分。</w:t>
      </w:r>
    </w:p>
    <w:p>
      <w:pPr>
        <w:pStyle w:val="7"/>
        <w:keepNext w:val="0"/>
        <w:keepLines w:val="0"/>
        <w:widowControl w:val="0"/>
        <w:numPr>
          <w:ilvl w:val="0"/>
          <w:numId w:val="0"/>
        </w:numPr>
        <w:shd w:val="clear" w:color="auto" w:fill="auto"/>
        <w:bidi w:val="0"/>
        <w:spacing w:before="0" w:after="0" w:line="413" w:lineRule="exact"/>
        <w:ind w:right="0" w:firstLine="480"/>
        <w:jc w:val="left"/>
        <w:rPr>
          <w:rFonts w:hint="default" w:ascii="黑体" w:hAnsi="黑体" w:eastAsia="黑体" w:cs="黑体"/>
          <w:i w:val="0"/>
          <w:iCs w:val="0"/>
          <w:color w:val="000000" w:themeColor="text1"/>
          <w:kern w:val="2"/>
          <w:sz w:val="21"/>
          <w:szCs w:val="21"/>
          <w:u w:val="none"/>
          <w:shd w:val="clear"/>
          <w:lang w:val="en-US" w:eastAsia="zh-CN" w:bidi="ar-SA"/>
          <w14:textFill>
            <w14:solidFill>
              <w14:schemeClr w14:val="tx1"/>
            </w14:solidFill>
          </w14:textFill>
        </w:rPr>
      </w:pPr>
    </w:p>
    <w:p>
      <w:pPr>
        <w:keepNext w:val="0"/>
        <w:keepLines w:val="0"/>
        <w:widowControl w:val="0"/>
        <w:numPr>
          <w:ilvl w:val="0"/>
          <w:numId w:val="0"/>
        </w:numPr>
        <w:shd w:val="clear" w:color="auto" w:fill="auto"/>
        <w:bidi w:val="0"/>
        <w:spacing w:before="0" w:after="0" w:line="360" w:lineRule="auto"/>
        <w:ind w:left="0" w:right="0" w:firstLine="422" w:firstLineChars="20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r>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t>M04智能制造</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任务类型：</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独立任务</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任务内容：</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生产分类好的货物需要堆放保存，机器人将分类好的货物堆放在高制造台，并采集高制造台中的数据块（红色或蓝色字母方块）用于后续使用。</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初始状态：</w:t>
      </w: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高制造台位于自动任务区中央靠近下方边框位置，其四个支柱通过磁吸方式固定在地图上，垂直投影完全位于图中的虚线框内。每个高制造台上各自摆放一个红色或蓝色字母方块，字母方块嵌入在高制造台的平台中，字母方块“M”或“X”字母的朝向由赛前抽签道具卡决定。</w:t>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r>
        <w:drawing>
          <wp:anchor distT="0" distB="0" distL="114300" distR="114300" simplePos="0" relativeHeight="251671552" behindDoc="0" locked="0" layoutInCell="1" allowOverlap="1">
            <wp:simplePos x="0" y="0"/>
            <wp:positionH relativeFrom="margin">
              <wp:posOffset>1234440</wp:posOffset>
            </wp:positionH>
            <wp:positionV relativeFrom="paragraph">
              <wp:posOffset>150495</wp:posOffset>
            </wp:positionV>
            <wp:extent cx="3075305" cy="1663700"/>
            <wp:effectExtent l="0" t="0" r="3175" b="12700"/>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075305" cy="1663700"/>
                    </a:xfrm>
                    <a:prstGeom prst="rect">
                      <a:avLst/>
                    </a:prstGeom>
                  </pic:spPr>
                </pic:pic>
              </a:graphicData>
            </a:graphic>
          </wp:anchor>
        </w:drawing>
      </w:r>
    </w:p>
    <w:p>
      <w:pPr>
        <w:pStyle w:val="7"/>
        <w:keepNext w:val="0"/>
        <w:keepLines w:val="0"/>
        <w:widowControl w:val="0"/>
        <w:shd w:val="clear" w:color="auto" w:fill="auto"/>
        <w:bidi w:val="0"/>
        <w:spacing w:before="0" w:after="0" w:line="413" w:lineRule="exact"/>
        <w:ind w:left="0" w:right="0" w:firstLine="480"/>
        <w:jc w:val="cente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r>
        <w:drawing>
          <wp:anchor distT="0" distB="0" distL="114300" distR="114300" simplePos="0" relativeHeight="251672576" behindDoc="0" locked="0" layoutInCell="1" allowOverlap="1">
            <wp:simplePos x="0" y="0"/>
            <wp:positionH relativeFrom="margin">
              <wp:posOffset>530860</wp:posOffset>
            </wp:positionH>
            <wp:positionV relativeFrom="paragraph">
              <wp:posOffset>-10160</wp:posOffset>
            </wp:positionV>
            <wp:extent cx="4497070" cy="1839595"/>
            <wp:effectExtent l="0" t="0" r="13970" b="4445"/>
            <wp:wrapTopAndBottom/>
            <wp:docPr id="36" name="Draw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497070" cy="1839595"/>
                    </a:xfrm>
                    <a:prstGeom prst="rect">
                      <a:avLst/>
                    </a:prstGeom>
                  </pic:spPr>
                </pic:pic>
              </a:graphicData>
            </a:graphic>
          </wp:anchor>
        </w:drawing>
      </w:r>
      <w: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t>M04 任务位置示意图</w:t>
      </w:r>
    </w:p>
    <w:p>
      <w:pPr>
        <w:pStyle w:val="7"/>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任务分值：</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成功移出一个字母方块，计20分。</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得分判定：</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自动控制阶段结束后的计分时刻：</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a.红色或蓝色字母方块完全脱离高制造台；</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b.红色或蓝色字母方块垂直投影需要完全处于场地内；</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c.红色或蓝色字母方块不与机器人和高制造台直接接触；</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以上判定均满足，则对应的红色或蓝色字母方块得分。</w:t>
      </w:r>
    </w:p>
    <w:p>
      <w:pPr>
        <w:keepNext w:val="0"/>
        <w:keepLines w:val="0"/>
        <w:widowControl w:val="0"/>
        <w:numPr>
          <w:ilvl w:val="0"/>
          <w:numId w:val="0"/>
        </w:numPr>
        <w:shd w:val="clear" w:color="auto" w:fill="auto"/>
        <w:bidi w:val="0"/>
        <w:spacing w:before="0" w:after="0" w:line="360" w:lineRule="auto"/>
        <w:ind w:left="0" w:right="0" w:firstLine="0" w:firstLineChars="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p>
    <w:p>
      <w:pPr>
        <w:keepNext w:val="0"/>
        <w:keepLines w:val="0"/>
        <w:widowControl w:val="0"/>
        <w:numPr>
          <w:ilvl w:val="0"/>
          <w:numId w:val="0"/>
        </w:numPr>
        <w:shd w:val="clear" w:color="auto" w:fill="auto"/>
        <w:bidi w:val="0"/>
        <w:spacing w:before="0" w:after="0" w:line="360" w:lineRule="auto"/>
        <w:ind w:left="0" w:right="0" w:firstLine="422" w:firstLineChars="20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r>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t>M05处理污染物</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任务类型：</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独立任务</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任务内容：</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机器人将本方数据块（红色或蓝色字母方块）转移至密码填充区，嵌入数据块至资源转换器，使污染处理装置运转处理废物废水，将数据块（红色或蓝色蓝字母方块）置换出来并转运至手动区。</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初始状态：</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在自动任务区，红蓝双方各有一个密码填充区域，密码填充区域内有资源转换器，资源转换器内嵌有红色或蓝色字母方块，资源转化器黑色亚克力台一面抬起，资源转换器初始状态如下图所示。机器人需要将代表密码元素“M”或“X”的字母方块（来源于任务M04）移入密码填充区，完成输入密码任务；换取红/蓝字母方块并转运至手动区；</w:t>
      </w:r>
    </w:p>
    <w:p>
      <w:pPr>
        <w:pStyle w:val="7"/>
        <w:keepNext w:val="0"/>
        <w:keepLines w:val="0"/>
        <w:widowControl w:val="0"/>
        <w:shd w:val="clear" w:color="auto" w:fill="auto"/>
        <w:bidi w:val="0"/>
        <w:spacing w:before="0" w:after="0" w:line="413" w:lineRule="exact"/>
        <w:ind w:right="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drawing>
          <wp:anchor distT="0" distB="0" distL="114300" distR="114300" simplePos="0" relativeHeight="251674624" behindDoc="0" locked="0" layoutInCell="1" allowOverlap="1">
            <wp:simplePos x="0" y="0"/>
            <wp:positionH relativeFrom="margin">
              <wp:posOffset>277495</wp:posOffset>
            </wp:positionH>
            <wp:positionV relativeFrom="paragraph">
              <wp:posOffset>1652905</wp:posOffset>
            </wp:positionV>
            <wp:extent cx="5201920" cy="1076325"/>
            <wp:effectExtent l="0" t="0" r="10160" b="5715"/>
            <wp:wrapTopAndBottom/>
            <wp:docPr id="73" name="Draw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36"/>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201920" cy="1076325"/>
                    </a:xfrm>
                    <a:prstGeom prst="rect">
                      <a:avLst/>
                    </a:prstGeom>
                  </pic:spPr>
                </pic:pic>
              </a:graphicData>
            </a:graphic>
          </wp:anchor>
        </w:drawing>
      </w:r>
      <w:r>
        <w:drawing>
          <wp:anchor distT="0" distB="0" distL="114300" distR="114300" simplePos="0" relativeHeight="251673600" behindDoc="0" locked="0" layoutInCell="1" allowOverlap="1">
            <wp:simplePos x="0" y="0"/>
            <wp:positionH relativeFrom="column">
              <wp:posOffset>788670</wp:posOffset>
            </wp:positionH>
            <wp:positionV relativeFrom="paragraph">
              <wp:posOffset>111125</wp:posOffset>
            </wp:positionV>
            <wp:extent cx="3997960" cy="1391285"/>
            <wp:effectExtent l="0" t="0" r="0" b="0"/>
            <wp:wrapTopAndBottom/>
            <wp:docPr id="1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97960" cy="1391285"/>
                    </a:xfrm>
                    <a:prstGeom prst="rect">
                      <a:avLst/>
                    </a:prstGeom>
                  </pic:spPr>
                </pic:pic>
              </a:graphicData>
            </a:graphic>
          </wp:anchor>
        </w:drawing>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任务得分：</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每一个密码填充区为一个得分区域，成功将代表密码元素的“M”或“X”的红/蓝字母方块填充入密码填充区域，计10分/个；成功将资源转换器中的红色或蓝色字母方块并转运至手动区方块，计30分/个；</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得分判定：</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1、自动控制阶段结束后的计分时刻：</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a.红色或蓝色字母方块垂直投影部分进入密码填充区域，且与场地直接接触；</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b.字母方块不与机器人直接接触；</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c.红色或蓝色字母方块“X”和“M”朝向，与M04任务的初始朝向相同；</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以上判定均满足，则对应的红色或蓝色字母方块得到密码填充的分数。</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2、自动控制阶段结束后的计分时刻，资源转换器中的红色或蓝色字母方块垂直投影完全位于手动任务区内。</w:t>
      </w:r>
    </w:p>
    <w:p>
      <w:pPr>
        <w:pStyle w:val="7"/>
        <w:keepNext w:val="0"/>
        <w:keepLines w:val="0"/>
        <w:widowControl w:val="0"/>
        <w:shd w:val="clear" w:color="auto" w:fill="auto"/>
        <w:bidi w:val="0"/>
        <w:spacing w:before="0" w:after="0" w:line="413" w:lineRule="exact"/>
        <w:ind w:left="0" w:right="0" w:firstLine="480"/>
        <w:jc w:val="left"/>
        <w:rPr>
          <w:rFonts w:hint="default" w:ascii="黑体" w:hAnsi="黑体" w:eastAsia="黑体" w:cs="黑体"/>
          <w:i w:val="0"/>
          <w:iCs w:val="0"/>
          <w:color w:val="000000" w:themeColor="text1"/>
          <w:kern w:val="2"/>
          <w:sz w:val="21"/>
          <w:szCs w:val="21"/>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满足以上判定，则对应的字母方块得分。</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br w:type="textWrapping"/>
      </w:r>
    </w:p>
    <w:p>
      <w:pPr>
        <w:keepNext w:val="0"/>
        <w:keepLines w:val="0"/>
        <w:widowControl w:val="0"/>
        <w:numPr>
          <w:ilvl w:val="0"/>
          <w:numId w:val="0"/>
        </w:numPr>
        <w:shd w:val="clear" w:color="auto" w:fill="auto"/>
        <w:bidi w:val="0"/>
        <w:spacing w:before="0" w:after="0" w:line="360" w:lineRule="auto"/>
        <w:ind w:left="0" w:right="0" w:firstLine="422" w:firstLineChars="200"/>
        <w:jc w:val="left"/>
        <w:rPr>
          <w:rFonts w:hint="default"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r>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t>M06 堆放储物仓</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任务类型：</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独立任务</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任务内容：</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机器人通过识别，从混有有机晶体（黄色方块）的储物仓中，挑选出数据块（红色或蓝色字母方块）送至手动任务区，同时保留有机晶体（黄色方块）在储物仓。</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初始状态：</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在储物仓中摆有两个己方颜色字母方块和一个黄色方块；黄色方块位置将通过随机抽签方式确定。</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p>
    <w:p>
      <w:pPr>
        <w:pStyle w:val="7"/>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p>
    <w:p>
      <w:pPr>
        <w:pStyle w:val="7"/>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p>
    <w:p>
      <w:pPr>
        <w:pStyle w:val="7"/>
        <w:keepNext w:val="0"/>
        <w:keepLines w:val="0"/>
        <w:widowControl w:val="0"/>
        <w:shd w:val="clear" w:color="auto" w:fill="auto"/>
        <w:bidi w:val="0"/>
        <w:spacing w:before="0" w:after="0" w:line="413" w:lineRule="exact"/>
        <w:ind w:right="0"/>
        <w:jc w:val="center"/>
        <w:rPr>
          <w:rFonts w:hint="eastAsia" w:ascii="黑体" w:hAnsi="黑体" w:eastAsia="黑体" w:cs="黑体"/>
          <w:i w:val="0"/>
          <w:iCs w:val="0"/>
          <w:color w:val="000000" w:themeColor="text1"/>
          <w:kern w:val="2"/>
          <w:sz w:val="21"/>
          <w:szCs w:val="21"/>
          <w:u w:val="none"/>
          <w:shd w:val="clear"/>
          <w:lang w:val="en-US" w:eastAsia="zh-CN" w:bidi="ar-SA"/>
          <w14:textFill>
            <w14:solidFill>
              <w14:schemeClr w14:val="tx1"/>
            </w14:solidFill>
          </w14:textFill>
        </w:rPr>
      </w:pPr>
      <w:r>
        <w:drawing>
          <wp:anchor distT="0" distB="0" distL="114300" distR="114300" simplePos="0" relativeHeight="251675648" behindDoc="0" locked="0" layoutInCell="1" allowOverlap="1">
            <wp:simplePos x="0" y="0"/>
            <wp:positionH relativeFrom="margin">
              <wp:posOffset>147955</wp:posOffset>
            </wp:positionH>
            <wp:positionV relativeFrom="paragraph">
              <wp:posOffset>57150</wp:posOffset>
            </wp:positionV>
            <wp:extent cx="5278120" cy="1092200"/>
            <wp:effectExtent l="0" t="0" r="10160" b="508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278120" cy="1092200"/>
                    </a:xfrm>
                    <a:prstGeom prst="rect">
                      <a:avLst/>
                    </a:prstGeom>
                  </pic:spPr>
                </pic:pic>
              </a:graphicData>
            </a:graphic>
          </wp:anchor>
        </w:drawing>
      </w:r>
      <w: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t>M06 任务初始位置示意图</w:t>
      </w:r>
    </w:p>
    <w:p>
      <w:pPr>
        <w:pStyle w:val="7"/>
        <w:keepNext w:val="0"/>
        <w:keepLines w:val="0"/>
        <w:widowControl w:val="0"/>
        <w:shd w:val="clear" w:color="auto" w:fill="auto"/>
        <w:bidi w:val="0"/>
        <w:spacing w:before="0" w:after="0" w:line="413" w:lineRule="exact"/>
        <w:ind w:right="0"/>
        <w:jc w:val="center"/>
        <w:rPr>
          <w:rFonts w:hint="eastAsia" w:ascii="黑体" w:hAnsi="黑体" w:eastAsia="黑体" w:cs="黑体"/>
          <w:i w:val="0"/>
          <w:iCs w:val="0"/>
          <w:color w:val="000000" w:themeColor="text1"/>
          <w:kern w:val="2"/>
          <w:sz w:val="21"/>
          <w:szCs w:val="21"/>
          <w:u w:val="none"/>
          <w:shd w:val="clear"/>
          <w:lang w:val="en-US" w:eastAsia="zh-CN" w:bidi="ar-SA"/>
          <w14:textFill>
            <w14:solidFill>
              <w14:schemeClr w14:val="tx1"/>
            </w14:solidFill>
          </w14:textFill>
        </w:rPr>
      </w:pP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任务得分：</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每挑选出一个正确方块，计30分；黄色方块在初始位置，计10分；</w:t>
      </w:r>
    </w:p>
    <w:p>
      <w:pPr>
        <w:pStyle w:val="7"/>
        <w:keepNext w:val="0"/>
        <w:keepLines w:val="0"/>
        <w:widowControl w:val="0"/>
        <w:numPr>
          <w:ilvl w:val="0"/>
          <w:numId w:val="0"/>
        </w:numPr>
        <w:shd w:val="clear" w:color="auto" w:fill="auto"/>
        <w:bidi w:val="0"/>
        <w:spacing w:before="0" w:after="0" w:line="413" w:lineRule="exact"/>
        <w:ind w:left="480" w:leftChars="0" w:right="0" w:rightChars="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得分判定：</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自动控制阶段结束后的计分时刻：</w:t>
      </w:r>
    </w:p>
    <w:p>
      <w:pPr>
        <w:pStyle w:val="7"/>
        <w:keepNext w:val="0"/>
        <w:keepLines w:val="0"/>
        <w:widowControl w:val="0"/>
        <w:numPr>
          <w:ilvl w:val="0"/>
          <w:numId w:val="0"/>
        </w:numPr>
        <w:shd w:val="clear" w:color="auto" w:fill="auto"/>
        <w:bidi w:val="0"/>
        <w:spacing w:before="0" w:after="0" w:line="413" w:lineRule="exact"/>
        <w:ind w:left="480" w:leftChars="0" w:right="0" w:rightChars="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a.红色或蓝色字母方块的垂直投影完全处于手动区域内；</w:t>
      </w:r>
    </w:p>
    <w:p>
      <w:pPr>
        <w:pStyle w:val="7"/>
        <w:keepNext w:val="0"/>
        <w:keepLines w:val="0"/>
        <w:widowControl w:val="0"/>
        <w:numPr>
          <w:ilvl w:val="0"/>
          <w:numId w:val="0"/>
        </w:numPr>
        <w:shd w:val="clear" w:color="auto" w:fill="auto"/>
        <w:bidi w:val="0"/>
        <w:spacing w:before="0" w:after="0" w:line="413" w:lineRule="exact"/>
        <w:ind w:left="480" w:leftChars="0" w:right="0" w:rightChars="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b.黄色方块的垂直投影完全位于储物仓内；</w:t>
      </w:r>
    </w:p>
    <w:p>
      <w:pPr>
        <w:pStyle w:val="7"/>
        <w:keepNext w:val="0"/>
        <w:keepLines w:val="0"/>
        <w:widowControl w:val="0"/>
        <w:numPr>
          <w:ilvl w:val="0"/>
          <w:numId w:val="0"/>
        </w:numPr>
        <w:shd w:val="clear" w:color="auto" w:fill="auto"/>
        <w:bidi w:val="0"/>
        <w:spacing w:before="0" w:after="0" w:line="413" w:lineRule="exact"/>
        <w:ind w:left="480" w:leftChars="0" w:right="0" w:rightChars="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以上判定均满足，则对应的方块得分。</w:t>
      </w:r>
    </w:p>
    <w:p>
      <w:pPr>
        <w:pStyle w:val="7"/>
        <w:keepNext w:val="0"/>
        <w:keepLines w:val="0"/>
        <w:widowControl w:val="0"/>
        <w:numPr>
          <w:ilvl w:val="0"/>
          <w:numId w:val="0"/>
        </w:numPr>
        <w:shd w:val="clear" w:color="auto" w:fill="auto"/>
        <w:bidi w:val="0"/>
        <w:spacing w:before="0" w:after="0" w:line="413" w:lineRule="exact"/>
        <w:ind w:right="0" w:rightChars="0"/>
        <w:jc w:val="left"/>
        <w:rPr>
          <w:rFonts w:hint="eastAsia" w:ascii="黑体" w:hAnsi="黑体" w:eastAsia="黑体" w:cs="黑体"/>
          <w:i w:val="0"/>
          <w:iCs w:val="0"/>
          <w:color w:val="000000" w:themeColor="text1"/>
          <w:kern w:val="2"/>
          <w:sz w:val="21"/>
          <w:szCs w:val="21"/>
          <w:u w:val="none"/>
          <w:shd w:val="clear"/>
          <w:lang w:val="en-US" w:eastAsia="zh-CN" w:bidi="ar-SA"/>
          <w14:textFill>
            <w14:solidFill>
              <w14:schemeClr w14:val="tx1"/>
            </w14:solidFill>
          </w14:textFill>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r>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t>M07 点燃反物质燃料棒</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任务类型：</w:t>
      </w: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合作任务</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任务内容：</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反物质燃料棒具有高效、智能、持久的优点，工厂的持续智能运转需要燃料棒助力，机器人自动拨动工厂的反物质燃料棒，使工厂设施有序运转起来。</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初始状态：</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在自动任务区域中央横向放置3个解码转筒装置，每个转筒有5个面每个面都有特定的色标及字母，其初始的顺序由赛前抽签道具卡决定，其中一种摆放方式如下图； 解码转筒装置需与图中“T”字路口的“|”保持在同一直线上。</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drawing>
          <wp:anchor distT="0" distB="0" distL="114300" distR="114300" simplePos="0" relativeHeight="251676672" behindDoc="0" locked="0" layoutInCell="1" allowOverlap="1">
            <wp:simplePos x="0" y="0"/>
            <wp:positionH relativeFrom="margin">
              <wp:posOffset>313055</wp:posOffset>
            </wp:positionH>
            <wp:positionV relativeFrom="paragraph">
              <wp:posOffset>135255</wp:posOffset>
            </wp:positionV>
            <wp:extent cx="5067935" cy="1043940"/>
            <wp:effectExtent l="0" t="0" r="6985" b="7620"/>
            <wp:wrapTopAndBottom/>
            <wp:docPr id="42" name="Draw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067935" cy="1043940"/>
                    </a:xfrm>
                    <a:prstGeom prst="rect">
                      <a:avLst/>
                    </a:prstGeom>
                  </pic:spPr>
                </pic:pic>
              </a:graphicData>
            </a:graphic>
          </wp:anchor>
        </w:drawing>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任务得分：每个按照正确顺序排列的</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解码转筒，计30分。</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得分判定：</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自动控制阶段结束后的计分时刻：</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a.解码筒的顺序需与M05的“X”“M”方块构成正序“MAKEX”或倒序的“XEKAM”；</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b.机器人与解码转筒装置不直接接触；</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c.解码转筒装置符合特定顺序关键信息面绝对朝上；</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以上判定均满足，则该任务得分。</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注意：如M05任务中密码填充区的“M”、“X”方块均未得分，则任务M07任务的转筒无论处于何种顺序排列，均不得分；若M05任务中，密码填充区仅有一方得分，则任务M07任务的转筒顺序应以M05任务得分方为起点，构成正序或倒序“MakeX”。</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drawing>
          <wp:anchor distT="0" distB="0" distL="114300" distR="114300" simplePos="0" relativeHeight="251677696" behindDoc="0" locked="0" layoutInCell="1" allowOverlap="1">
            <wp:simplePos x="0" y="0"/>
            <wp:positionH relativeFrom="margin">
              <wp:posOffset>870585</wp:posOffset>
            </wp:positionH>
            <wp:positionV relativeFrom="paragraph">
              <wp:posOffset>66675</wp:posOffset>
            </wp:positionV>
            <wp:extent cx="4001770" cy="1493520"/>
            <wp:effectExtent l="0" t="0" r="6350" b="0"/>
            <wp:wrapTopAndBottom/>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4001770" cy="1493520"/>
                    </a:xfrm>
                    <a:prstGeom prst="rect">
                      <a:avLst/>
                    </a:prstGeom>
                  </pic:spPr>
                </pic:pic>
              </a:graphicData>
            </a:graphic>
          </wp:anchor>
        </w:drawing>
      </w:r>
    </w:p>
    <w:p>
      <w:pPr>
        <w:pStyle w:val="7"/>
        <w:keepNext w:val="0"/>
        <w:keepLines w:val="0"/>
        <w:widowControl w:val="0"/>
        <w:shd w:val="clear" w:color="auto" w:fill="auto"/>
        <w:bidi w:val="0"/>
        <w:spacing w:before="0" w:after="0" w:line="413" w:lineRule="exact"/>
        <w:ind w:left="0" w:right="0" w:firstLine="480"/>
        <w:jc w:val="cente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M07任务得分示意图</w:t>
      </w:r>
    </w:p>
    <w:p>
      <w:pPr>
        <w:pStyle w:val="7"/>
        <w:keepNext w:val="0"/>
        <w:keepLines w:val="0"/>
        <w:widowControl w:val="0"/>
        <w:shd w:val="clear" w:color="auto" w:fill="auto"/>
        <w:bidi w:val="0"/>
        <w:spacing w:before="0" w:after="0" w:line="413" w:lineRule="exact"/>
        <w:ind w:left="0" w:right="0" w:firstLine="480"/>
        <w:jc w:val="cente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pPr>
      <w:r>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t>M08运转矩阵研究站</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任务类型：</w:t>
      </w: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合作任务</w:t>
      </w:r>
    </w:p>
    <w:p>
      <w:pPr>
        <w:pStyle w:val="7"/>
        <w:keepNext w:val="0"/>
        <w:keepLines w:val="0"/>
        <w:widowControl w:val="0"/>
        <w:shd w:val="clear" w:color="auto" w:fill="auto"/>
        <w:bidi w:val="0"/>
        <w:spacing w:before="0" w:after="0" w:line="413" w:lineRule="exact"/>
        <w:ind w:left="0" w:right="0" w:firstLine="480"/>
        <w:jc w:val="left"/>
        <w:rPr>
          <w:rFonts w:hint="default"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任务内容：</w:t>
      </w: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工业互联网设备是为了实现工厂数字化管理而设计的，机器人将量子芯片和数据块同时嵌入矩阵研究站中，采集各种工厂数据，如温度、湿度、压力、振动、电量等，并将这些数据通过互联网传输到矩阵研究站，监测工厂运转状态，继续研究智能制造的节能高效方法，促进人类工业制造更上一层路。</w:t>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color w:val="000000" w:themeColor="text1"/>
          <w:kern w:val="2"/>
          <w:sz w:val="21"/>
          <w:szCs w:val="21"/>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初始状态</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w:t>
      </w: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在手动任务区内，并无字母方块，全部字母方块取决于红蓝战队自动控制阶段能否将对应道具移到手动任务区。</w:t>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color w:val="000000" w:themeColor="text1"/>
          <w:kern w:val="2"/>
          <w:sz w:val="21"/>
          <w:szCs w:val="21"/>
          <w:u w:val="none"/>
          <w:shd w:val="clear"/>
          <w:lang w:val="en-US" w:eastAsia="zh-CN" w:bidi="ar-SA"/>
          <w14:textFill>
            <w14:solidFill>
              <w14:schemeClr w14:val="tx1"/>
            </w14:solidFill>
          </w14:textFill>
        </w:rPr>
      </w:pPr>
      <w:r>
        <w:drawing>
          <wp:anchor distT="0" distB="0" distL="114300" distR="114300" simplePos="0" relativeHeight="251678720" behindDoc="0" locked="0" layoutInCell="1" allowOverlap="1">
            <wp:simplePos x="0" y="0"/>
            <wp:positionH relativeFrom="margin">
              <wp:posOffset>826770</wp:posOffset>
            </wp:positionH>
            <wp:positionV relativeFrom="paragraph">
              <wp:posOffset>187960</wp:posOffset>
            </wp:positionV>
            <wp:extent cx="3966210" cy="2266950"/>
            <wp:effectExtent l="0" t="0" r="11430" b="3810"/>
            <wp:wrapTopAndBottom/>
            <wp:docPr id="74" name="Draw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43"/>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rot="10800000">
                      <a:off x="0" y="0"/>
                      <a:ext cx="3966210" cy="2266950"/>
                    </a:xfrm>
                    <a:prstGeom prst="rect">
                      <a:avLst/>
                    </a:prstGeom>
                  </pic:spPr>
                </pic:pic>
              </a:graphicData>
            </a:graphic>
          </wp:anchor>
        </w:drawing>
      </w:r>
    </w:p>
    <w:p>
      <w:pPr>
        <w:pStyle w:val="7"/>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t>M08 任务初始位置示意图</w:t>
      </w:r>
    </w:p>
    <w:p>
      <w:pPr>
        <w:pStyle w:val="7"/>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p>
    <w:p>
      <w:pPr>
        <w:pStyle w:val="7"/>
        <w:keepNext w:val="0"/>
        <w:keepLines w:val="0"/>
        <w:widowControl w:val="0"/>
        <w:shd w:val="clear" w:color="auto" w:fill="auto"/>
        <w:bidi w:val="0"/>
        <w:spacing w:before="0" w:after="0" w:line="413" w:lineRule="exact"/>
        <w:ind w:right="0"/>
        <w:jc w:val="center"/>
        <w:rPr>
          <w:rFonts w:hint="eastAsia" w:ascii="黑体" w:hAnsi="黑体" w:eastAsia="黑体" w:cs="黑体"/>
          <w:i w:val="0"/>
          <w:iCs w:val="0"/>
          <w:color w:val="000000" w:themeColor="text1"/>
          <w:kern w:val="2"/>
          <w:sz w:val="21"/>
          <w:szCs w:val="21"/>
          <w:u w:val="none"/>
          <w:shd w:val="clear"/>
          <w:lang w:val="en-US" w:eastAsia="zh-CN" w:bidi="ar-SA"/>
          <w14:textFill>
            <w14:solidFill>
              <w14:schemeClr w14:val="tx1"/>
            </w14:solidFill>
          </w14:textFill>
        </w:rPr>
      </w:pP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任务得分：</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每成功按照顺序颜色嵌入一个方块，计20分；若同一颜色的方块按照顺序完成“MAKEX”嵌入，每组“MAKEX”序列方块额外获得50分。</w:t>
      </w:r>
    </w:p>
    <w:p>
      <w:pPr>
        <w:pStyle w:val="7"/>
        <w:keepNext w:val="0"/>
        <w:keepLines w:val="0"/>
        <w:widowControl w:val="0"/>
        <w:shd w:val="clear" w:color="auto" w:fill="auto"/>
        <w:bidi w:val="0"/>
        <w:spacing w:before="0" w:after="0" w:line="413" w:lineRule="exact"/>
        <w:ind w:right="0" w:firstLine="442" w:firstLineChars="20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得分判定：</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手动控制阶段结束后的计分时刻：</w:t>
      </w:r>
    </w:p>
    <w:p>
      <w:pPr>
        <w:pStyle w:val="7"/>
        <w:keepNext w:val="0"/>
        <w:keepLines w:val="0"/>
        <w:widowControl w:val="0"/>
        <w:shd w:val="clear" w:color="auto" w:fill="auto"/>
        <w:bidi w:val="0"/>
        <w:spacing w:before="0" w:after="0" w:line="413" w:lineRule="exact"/>
        <w:ind w:right="0" w:firstLine="440" w:firstLineChars="20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a.按照同色、且按照</w:t>
      </w: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图示</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的顺序嵌入矩阵研究站的方块，视为嵌入成功（图中视角为站在手动装载区的视角）;</w:t>
      </w:r>
    </w:p>
    <w:p>
      <w:pPr>
        <w:pStyle w:val="7"/>
        <w:keepNext w:val="0"/>
        <w:keepLines w:val="0"/>
        <w:widowControl w:val="0"/>
        <w:shd w:val="clear" w:color="auto" w:fill="auto"/>
        <w:bidi w:val="0"/>
        <w:spacing w:before="0" w:after="0" w:line="413" w:lineRule="exact"/>
        <w:ind w:right="0" w:firstLine="440" w:firstLineChars="20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b.机器人与红、黄、蓝字母方块和方块嵌入储存架任意部分均不得直接接触；</w:t>
      </w:r>
    </w:p>
    <w:p>
      <w:pPr>
        <w:pStyle w:val="7"/>
        <w:keepNext w:val="0"/>
        <w:keepLines w:val="0"/>
        <w:widowControl w:val="0"/>
        <w:shd w:val="clear" w:color="auto" w:fill="auto"/>
        <w:bidi w:val="0"/>
        <w:spacing w:before="0" w:after="0" w:line="413" w:lineRule="exact"/>
        <w:ind w:right="0" w:firstLine="440" w:firstLineChars="20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c.红、黄、蓝字母方块均完全嵌入至方块嵌入储存架凹槽中；</w:t>
      </w:r>
    </w:p>
    <w:p>
      <w:pPr>
        <w:pStyle w:val="7"/>
        <w:keepNext w:val="0"/>
        <w:keepLines w:val="0"/>
        <w:widowControl w:val="0"/>
        <w:shd w:val="clear" w:color="auto" w:fill="auto"/>
        <w:bidi w:val="0"/>
        <w:spacing w:before="0" w:after="0" w:line="413" w:lineRule="exact"/>
        <w:ind w:right="0" w:firstLine="440" w:firstLineChars="20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以上判定均满足，则对应的方块得分。</w:t>
      </w:r>
    </w:p>
    <w:p>
      <w:pPr>
        <w:pStyle w:val="7"/>
        <w:keepNext w:val="0"/>
        <w:keepLines w:val="0"/>
        <w:widowControl w:val="0"/>
        <w:shd w:val="clear" w:color="auto" w:fill="auto"/>
        <w:bidi w:val="0"/>
        <w:spacing w:before="0" w:after="0" w:line="413" w:lineRule="exact"/>
        <w:ind w:right="0" w:firstLine="442" w:firstLineChars="200"/>
        <w:jc w:val="left"/>
        <w:rPr>
          <w:rFonts w:hint="default"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pPr>
      <w:r>
        <w:rPr>
          <w:rFonts w:hint="default"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注：观察手仅可在手动装载区内接触字母方块，但不得手动将方块放置在机器人上；观察手在手动装载区不可直接或间接接触机器人。</w:t>
      </w:r>
    </w:p>
    <w:p>
      <w:pPr>
        <w:pStyle w:val="7"/>
        <w:keepNext w:val="0"/>
        <w:keepLines w:val="0"/>
        <w:widowControl w:val="0"/>
        <w:shd w:val="clear" w:color="auto" w:fill="auto"/>
        <w:bidi w:val="0"/>
        <w:spacing w:before="0" w:after="0" w:line="413" w:lineRule="exact"/>
        <w:ind w:right="0" w:firstLine="400" w:firstLineChars="200"/>
        <w:jc w:val="left"/>
        <w:rPr>
          <w:rFonts w:hint="default"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pPr>
      <w:r>
        <w:drawing>
          <wp:anchor distT="0" distB="0" distL="114300" distR="114300" simplePos="0" relativeHeight="251679744" behindDoc="0" locked="0" layoutInCell="1" allowOverlap="1">
            <wp:simplePos x="0" y="0"/>
            <wp:positionH relativeFrom="margin">
              <wp:posOffset>735330</wp:posOffset>
            </wp:positionH>
            <wp:positionV relativeFrom="paragraph">
              <wp:posOffset>133350</wp:posOffset>
            </wp:positionV>
            <wp:extent cx="4470400" cy="2071370"/>
            <wp:effectExtent l="0" t="0" r="10160" b="1270"/>
            <wp:wrapTopAndBottom/>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4470400" cy="2071370"/>
                    </a:xfrm>
                    <a:prstGeom prst="rect">
                      <a:avLst/>
                    </a:prstGeom>
                  </pic:spPr>
                </pic:pic>
              </a:graphicData>
            </a:graphic>
          </wp:anchor>
        </w:drawing>
      </w:r>
    </w:p>
    <w:p>
      <w:pPr>
        <w:pStyle w:val="7"/>
        <w:keepNext w:val="0"/>
        <w:keepLines w:val="0"/>
        <w:widowControl w:val="0"/>
        <w:shd w:val="clear" w:color="auto" w:fill="auto"/>
        <w:bidi w:val="0"/>
        <w:spacing w:before="0" w:after="0" w:line="413" w:lineRule="exact"/>
        <w:ind w:right="0" w:firstLine="442" w:firstLineChars="200"/>
        <w:jc w:val="left"/>
        <w:rPr>
          <w:rFonts w:hint="default"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pPr>
      <w:r>
        <w:rPr>
          <w:rFonts w:hint="default"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M09 摆放战队标记物</w:t>
      </w:r>
    </w:p>
    <w:p>
      <w:pPr>
        <w:pStyle w:val="7"/>
        <w:keepNext w:val="0"/>
        <w:keepLines w:val="0"/>
        <w:widowControl w:val="0"/>
        <w:shd w:val="clear" w:color="auto" w:fill="auto"/>
        <w:bidi w:val="0"/>
        <w:spacing w:before="0" w:after="0" w:line="413" w:lineRule="exact"/>
        <w:ind w:right="0" w:firstLine="442" w:firstLineChars="200"/>
        <w:jc w:val="left"/>
        <w:rPr>
          <w:rFonts w:hint="default"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pPr>
      <w:r>
        <w:rPr>
          <w:rFonts w:hint="default"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任务类型：</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合作</w:t>
      </w:r>
      <w:r>
        <w:rPr>
          <w:rFonts w:hint="default"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任务</w:t>
      </w:r>
    </w:p>
    <w:p>
      <w:pPr>
        <w:pStyle w:val="7"/>
        <w:keepNext w:val="0"/>
        <w:keepLines w:val="0"/>
        <w:widowControl w:val="0"/>
        <w:shd w:val="clear" w:color="auto" w:fill="auto"/>
        <w:bidi w:val="0"/>
        <w:spacing w:before="0" w:after="0" w:line="413" w:lineRule="exact"/>
        <w:ind w:right="0" w:firstLine="442" w:firstLineChars="200"/>
        <w:jc w:val="left"/>
        <w:rPr>
          <w:rFonts w:hint="default"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pPr>
      <w:r>
        <w:rPr>
          <w:rFonts w:hint="default"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任务内容：</w:t>
      </w:r>
      <w:r>
        <w:rPr>
          <w:rFonts w:hint="default"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标记物可以很好地帮助制造人员快速运转工厂的智能制造系统，机器人需要搬运并摆放标记物到标记区。</w:t>
      </w:r>
    </w:p>
    <w:p>
      <w:pPr>
        <w:pStyle w:val="7"/>
        <w:keepNext w:val="0"/>
        <w:keepLines w:val="0"/>
        <w:widowControl w:val="0"/>
        <w:shd w:val="clear" w:color="auto" w:fill="auto"/>
        <w:bidi w:val="0"/>
        <w:spacing w:before="0" w:after="0" w:line="413" w:lineRule="exact"/>
        <w:ind w:right="0" w:firstLine="442" w:firstLineChars="200"/>
        <w:jc w:val="left"/>
        <w:rPr>
          <w:rFonts w:hint="default"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default"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初始位置：</w:t>
      </w:r>
      <w:r>
        <w:rPr>
          <w:rFonts w:hint="default"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 xml:space="preserve">比赛开始前，选手将战队标记物放置在手动装载区两侧的方形标记区（战队标记物垂直投影完全处于方形标记区内），战队标记物为选手自制道具(战队标记物的制作尺寸要求高度≥120mm，垂直投影面积≤直径60mm的圆形区域）； </w:t>
      </w:r>
    </w:p>
    <w:p>
      <w:pPr>
        <w:pStyle w:val="7"/>
        <w:keepNext w:val="0"/>
        <w:keepLines w:val="0"/>
        <w:widowControl w:val="0"/>
        <w:shd w:val="clear" w:color="auto" w:fill="auto"/>
        <w:bidi w:val="0"/>
        <w:spacing w:before="0" w:after="0" w:line="413" w:lineRule="exact"/>
        <w:ind w:right="0" w:firstLine="442" w:firstLineChars="200"/>
        <w:jc w:val="left"/>
        <w:rPr>
          <w:rFonts w:hint="default"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pPr>
      <w:r>
        <w:rPr>
          <w:rFonts w:hint="default"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任务得分：</w:t>
      </w:r>
      <w:r>
        <w:rPr>
          <w:rFonts w:hint="default"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成功摆放一个战队标记物，计30 分。</w:t>
      </w:r>
    </w:p>
    <w:p>
      <w:pPr>
        <w:pStyle w:val="7"/>
        <w:keepNext w:val="0"/>
        <w:keepLines w:val="0"/>
        <w:widowControl w:val="0"/>
        <w:shd w:val="clear" w:color="auto" w:fill="auto"/>
        <w:bidi w:val="0"/>
        <w:spacing w:before="0" w:after="0" w:line="413" w:lineRule="exact"/>
        <w:ind w:right="0" w:firstLine="442" w:firstLineChars="200"/>
        <w:jc w:val="left"/>
        <w:rPr>
          <w:rFonts w:hint="default"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default"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得分判定：</w:t>
      </w:r>
      <w:r>
        <w:rPr>
          <w:rFonts w:hint="default"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手动控制阶段结束后的计分时刻：</w:t>
      </w:r>
    </w:p>
    <w:p>
      <w:pPr>
        <w:pStyle w:val="7"/>
        <w:keepNext w:val="0"/>
        <w:keepLines w:val="0"/>
        <w:widowControl w:val="0"/>
        <w:shd w:val="clear" w:color="auto" w:fill="auto"/>
        <w:bidi w:val="0"/>
        <w:spacing w:before="0" w:after="0" w:line="413" w:lineRule="exact"/>
        <w:ind w:right="0" w:firstLine="440" w:firstLineChars="200"/>
        <w:jc w:val="left"/>
        <w:rPr>
          <w:rFonts w:hint="default"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default"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a.战队标记物垂直投影完全处于圆形指定区域；</w:t>
      </w:r>
    </w:p>
    <w:p>
      <w:pPr>
        <w:pStyle w:val="7"/>
        <w:keepNext w:val="0"/>
        <w:keepLines w:val="0"/>
        <w:widowControl w:val="0"/>
        <w:shd w:val="clear" w:color="auto" w:fill="auto"/>
        <w:bidi w:val="0"/>
        <w:spacing w:before="0" w:after="0" w:line="413" w:lineRule="exact"/>
        <w:ind w:right="0" w:firstLine="440" w:firstLineChars="200"/>
        <w:jc w:val="left"/>
        <w:rPr>
          <w:rFonts w:hint="default"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default"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b.战队标记物保持直立状态，与机器人无直接接触；</w:t>
      </w:r>
    </w:p>
    <w:p>
      <w:pPr>
        <w:pStyle w:val="7"/>
        <w:keepNext w:val="0"/>
        <w:keepLines w:val="0"/>
        <w:widowControl w:val="0"/>
        <w:shd w:val="clear" w:color="auto" w:fill="auto"/>
        <w:bidi w:val="0"/>
        <w:spacing w:before="0" w:after="0" w:line="413" w:lineRule="exact"/>
        <w:ind w:right="0" w:firstLine="440" w:firstLineChars="200"/>
        <w:jc w:val="left"/>
        <w:rPr>
          <w:rFonts w:hint="default"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default"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c.战队标记物与场地直接接触；</w:t>
      </w:r>
    </w:p>
    <w:p>
      <w:pPr>
        <w:pStyle w:val="7"/>
        <w:keepNext w:val="0"/>
        <w:keepLines w:val="0"/>
        <w:widowControl w:val="0"/>
        <w:shd w:val="clear" w:color="auto" w:fill="auto"/>
        <w:bidi w:val="0"/>
        <w:spacing w:before="0" w:after="0" w:line="413" w:lineRule="exact"/>
        <w:ind w:right="0" w:firstLine="440" w:firstLineChars="200"/>
        <w:jc w:val="left"/>
        <w:rPr>
          <w:rFonts w:hint="default"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default"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以上判定均满足，则对应的战队标记物得分。</w:t>
      </w:r>
    </w:p>
    <w:p>
      <w:pPr>
        <w:pStyle w:val="7"/>
        <w:keepNext w:val="0"/>
        <w:keepLines w:val="0"/>
        <w:widowControl w:val="0"/>
        <w:shd w:val="clear" w:color="auto" w:fill="auto"/>
        <w:bidi w:val="0"/>
        <w:spacing w:before="0" w:after="0" w:line="413" w:lineRule="exact"/>
        <w:ind w:right="0" w:firstLine="442" w:firstLineChars="200"/>
        <w:jc w:val="left"/>
        <w:rPr>
          <w:rFonts w:hint="default"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pPr>
      <w:r>
        <w:rPr>
          <w:rFonts w:hint="default"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注：战队标记物不允许直接或间接接触。</w:t>
      </w:r>
    </w:p>
    <w:p>
      <w:pPr>
        <w:pStyle w:val="7"/>
        <w:keepNext w:val="0"/>
        <w:keepLines w:val="0"/>
        <w:widowControl w:val="0"/>
        <w:shd w:val="clear" w:color="auto" w:fill="auto"/>
        <w:bidi w:val="0"/>
        <w:spacing w:before="0" w:after="0" w:line="413" w:lineRule="exact"/>
        <w:ind w:right="0" w:firstLine="440" w:firstLineChars="200"/>
        <w:jc w:val="left"/>
        <w:rPr>
          <w:rFonts w:hint="default"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p>
    <w:p>
      <w:pPr>
        <w:pStyle w:val="7"/>
        <w:keepNext w:val="0"/>
        <w:keepLines w:val="0"/>
        <w:widowControl w:val="0"/>
        <w:shd w:val="clear" w:color="auto" w:fill="auto"/>
        <w:bidi w:val="0"/>
        <w:spacing w:before="0" w:after="0" w:line="413" w:lineRule="exact"/>
        <w:ind w:right="0" w:firstLine="442" w:firstLineChars="100"/>
        <w:jc w:val="left"/>
        <w:rPr>
          <w:rFonts w:hint="default" w:ascii="仿宋" w:hAnsi="仿宋" w:eastAsia="仿宋" w:cs="仿宋"/>
          <w:b/>
          <w:bCs/>
          <w:i w:val="0"/>
          <w:iCs w:val="0"/>
          <w:color w:val="000000" w:themeColor="text1"/>
          <w:kern w:val="0"/>
          <w:sz w:val="44"/>
          <w:szCs w:val="44"/>
          <w:u w:val="none"/>
          <w:shd w:val="clear"/>
          <w:lang w:val="en-US" w:eastAsia="zh-CN" w:bidi="ar-SA"/>
          <w14:textFill>
            <w14:solidFill>
              <w14:schemeClr w14:val="tx1"/>
            </w14:solidFill>
          </w14:textFill>
        </w:rPr>
      </w:pPr>
      <w:r>
        <w:rPr>
          <w:rFonts w:hint="default" w:ascii="仿宋" w:hAnsi="仿宋" w:eastAsia="仿宋" w:cs="仿宋"/>
          <w:b/>
          <w:bCs/>
          <w:i w:val="0"/>
          <w:iCs w:val="0"/>
          <w:color w:val="000000" w:themeColor="text1"/>
          <w:kern w:val="0"/>
          <w:sz w:val="44"/>
          <w:szCs w:val="44"/>
          <w:u w:val="none"/>
          <w:shd w:val="clear"/>
          <w:lang w:val="en-US" w:eastAsia="zh-CN" w:bidi="ar-SA"/>
          <w14:textFill>
            <w14:solidFill>
              <w14:schemeClr w14:val="tx1"/>
            </w14:solidFill>
          </w14:textFill>
        </w:rPr>
        <w:t>神秘任务</w:t>
      </w:r>
    </w:p>
    <w:p>
      <w:pPr>
        <w:pStyle w:val="7"/>
        <w:keepNext w:val="0"/>
        <w:keepLines w:val="0"/>
        <w:widowControl w:val="0"/>
        <w:shd w:val="clear" w:color="auto" w:fill="auto"/>
        <w:bidi w:val="0"/>
        <w:spacing w:before="0" w:after="0" w:line="413" w:lineRule="exact"/>
        <w:ind w:right="0" w:firstLine="442" w:firstLineChars="200"/>
        <w:jc w:val="left"/>
        <w:rPr>
          <w:rFonts w:hint="default"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pPr>
      <w:r>
        <w:rPr>
          <w:rFonts w:hint="default"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在</w:t>
      </w: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比赛</w:t>
      </w:r>
      <w:r>
        <w:rPr>
          <w:rFonts w:hint="default"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中，</w:t>
      </w: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可能</w:t>
      </w:r>
      <w:r>
        <w:rPr>
          <w:rFonts w:hint="default"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存在与已有任务（M01-M09）均不相同的比赛任务。该任务的具体内容将在该场比赛的《秩序册》中公布。</w:t>
      </w:r>
    </w:p>
    <w:p>
      <w:pPr>
        <w:pStyle w:val="7"/>
        <w:keepNext w:val="0"/>
        <w:keepLines w:val="0"/>
        <w:widowControl w:val="0"/>
        <w:shd w:val="clear" w:color="auto" w:fill="auto"/>
        <w:bidi w:val="0"/>
        <w:spacing w:before="0" w:after="0" w:line="413" w:lineRule="exact"/>
        <w:ind w:right="0" w:firstLine="442" w:firstLineChars="200"/>
        <w:jc w:val="left"/>
        <w:rPr>
          <w:rFonts w:hint="default"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黑体" w:hAnsi="黑体" w:eastAsia="黑体" w:cs="黑体"/>
          <w:b/>
          <w:bCs/>
          <w:color w:val="000000" w:themeColor="text1"/>
          <w:sz w:val="24"/>
          <w:szCs w:val="24"/>
          <w:lang w:val="en-US" w:eastAsia="zh-CN"/>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4.6计分说明</w:t>
      </w:r>
    </w:p>
    <w:p>
      <w:pPr>
        <w:pStyle w:val="7"/>
        <w:keepNext w:val="0"/>
        <w:keepLines w:val="0"/>
        <w:pageBreakBefore w:val="0"/>
        <w:widowControl w:val="0"/>
        <w:numPr>
          <w:ilvl w:val="-1"/>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全场比赛中，裁判只在两个计分时刻进行计分，分别是自动控制阶段结束后和手动控制阶段结束后。在比赛过程中，裁判会实时监控比赛进程，记录警告与违例的情况。</w:t>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r>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t>独立任务得分</w:t>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p>
    <w:tbl>
      <w:tblPr>
        <w:tblStyle w:val="5"/>
        <w:tblW w:w="8505" w:type="dxa"/>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 w:type="dxa"/>
          <w:bottom w:w="0" w:type="dxa"/>
          <w:right w:w="10" w:type="dxa"/>
        </w:tblCellMar>
      </w:tblPr>
      <w:tblGrid>
        <w:gridCol w:w="2835"/>
        <w:gridCol w:w="2977"/>
        <w:gridCol w:w="1276"/>
        <w:gridCol w:w="141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500" w:hRule="atLeast"/>
          <w:jc w:val="center"/>
        </w:trPr>
        <w:tc>
          <w:tcPr>
            <w:tcW w:w="2835" w:type="dxa"/>
            <w:vAlign w:val="center"/>
          </w:tcPr>
          <w:p>
            <w:pPr>
              <w:pStyle w:val="19"/>
              <w:ind w:firstLine="0"/>
              <w:jc w:val="center"/>
              <w:rPr>
                <w:rFonts w:hint="eastAsia"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sz w:val="20"/>
                <w:szCs w:val="20"/>
                <w14:textFill>
                  <w14:solidFill>
                    <w14:schemeClr w14:val="tx1"/>
                  </w14:solidFill>
                </w14:textFill>
              </w:rPr>
              <w:t>比赛任务</w:t>
            </w:r>
          </w:p>
        </w:tc>
        <w:tc>
          <w:tcPr>
            <w:tcW w:w="2977" w:type="dxa"/>
            <w:vAlign w:val="center"/>
          </w:tcPr>
          <w:p>
            <w:pPr>
              <w:pStyle w:val="19"/>
              <w:ind w:firstLine="0"/>
              <w:jc w:val="center"/>
              <w:rPr>
                <w:rFonts w:hint="eastAsia"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sz w:val="20"/>
                <w:szCs w:val="20"/>
                <w14:textFill>
                  <w14:solidFill>
                    <w14:schemeClr w14:val="tx1"/>
                  </w14:solidFill>
                </w14:textFill>
              </w:rPr>
              <w:t>得分道具</w:t>
            </w:r>
          </w:p>
        </w:tc>
        <w:tc>
          <w:tcPr>
            <w:tcW w:w="1276" w:type="dxa"/>
            <w:vAlign w:val="center"/>
          </w:tcPr>
          <w:p>
            <w:pPr>
              <w:pStyle w:val="19"/>
              <w:ind w:firstLine="0"/>
              <w:jc w:val="center"/>
              <w:rPr>
                <w:rFonts w:hint="eastAsia"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sz w:val="20"/>
                <w:szCs w:val="20"/>
                <w14:textFill>
                  <w14:solidFill>
                    <w14:schemeClr w14:val="tx1"/>
                  </w14:solidFill>
                </w14:textFill>
              </w:rPr>
              <w:t>单个道具得分</w:t>
            </w:r>
          </w:p>
        </w:tc>
        <w:tc>
          <w:tcPr>
            <w:tcW w:w="1417" w:type="dxa"/>
            <w:vAlign w:val="center"/>
          </w:tcPr>
          <w:p>
            <w:pPr>
              <w:pStyle w:val="19"/>
              <w:ind w:firstLine="0"/>
              <w:jc w:val="center"/>
              <w:rPr>
                <w:rFonts w:hint="eastAsia"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sz w:val="20"/>
                <w:szCs w:val="20"/>
                <w14:textFill>
                  <w14:solidFill>
                    <w14:schemeClr w14:val="tx1"/>
                  </w14:solidFill>
                </w14:textFill>
              </w:rPr>
              <w:t>理论最高分值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00" w:hRule="atLeast"/>
          <w:jc w:val="center"/>
        </w:trPr>
        <w:tc>
          <w:tcPr>
            <w:tcW w:w="2835" w:type="dxa"/>
            <w:shd w:val="clear" w:color="auto" w:fill="FFFFFF"/>
            <w:vAlign w:val="center"/>
          </w:tcPr>
          <w:p>
            <w:pPr>
              <w:pStyle w:val="19"/>
              <w:ind w:firstLine="0"/>
              <w:rPr>
                <w:rFonts w:hint="eastAsia"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M01 采集量子芯片</w:t>
            </w:r>
          </w:p>
        </w:tc>
        <w:tc>
          <w:tcPr>
            <w:tcW w:w="2977" w:type="dxa"/>
            <w:vAlign w:val="center"/>
          </w:tcPr>
          <w:p>
            <w:pPr>
              <w:pStyle w:val="19"/>
              <w:numPr>
                <w:ilvl w:val="0"/>
                <w:numId w:val="5"/>
              </w:numPr>
              <w:jc w:val="left"/>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黄色K字母方块（含底座）</w:t>
            </w:r>
          </w:p>
          <w:p>
            <w:pPr>
              <w:pStyle w:val="19"/>
              <w:numPr>
                <w:ilvl w:val="0"/>
                <w:numId w:val="5"/>
              </w:numPr>
              <w:jc w:val="left"/>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黄色方块（含底座）</w:t>
            </w:r>
          </w:p>
        </w:tc>
        <w:tc>
          <w:tcPr>
            <w:tcW w:w="1276" w:type="dxa"/>
            <w:vAlign w:val="center"/>
          </w:tcPr>
          <w:p>
            <w:pPr>
              <w:pStyle w:val="19"/>
              <w:ind w:firstLine="0"/>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20分/个</w:t>
            </w:r>
          </w:p>
        </w:tc>
        <w:tc>
          <w:tcPr>
            <w:tcW w:w="1417" w:type="dxa"/>
            <w:vAlign w:val="center"/>
          </w:tcPr>
          <w:p>
            <w:pPr>
              <w:pStyle w:val="19"/>
              <w:ind w:firstLine="0"/>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20分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00" w:hRule="atLeast"/>
          <w:jc w:val="center"/>
        </w:trPr>
        <w:tc>
          <w:tcPr>
            <w:tcW w:w="2835" w:type="dxa"/>
            <w:vAlign w:val="center"/>
          </w:tcPr>
          <w:p>
            <w:pPr>
              <w:pStyle w:val="19"/>
              <w:ind w:firstLine="0"/>
              <w:rPr>
                <w:rFonts w:hint="eastAsia"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M02 转运量子芯片和有机晶体</w:t>
            </w:r>
          </w:p>
        </w:tc>
        <w:tc>
          <w:tcPr>
            <w:tcW w:w="2977" w:type="dxa"/>
            <w:vAlign w:val="center"/>
          </w:tcPr>
          <w:p>
            <w:pPr>
              <w:pStyle w:val="19"/>
              <w:numPr>
                <w:ilvl w:val="0"/>
                <w:numId w:val="5"/>
              </w:numPr>
              <w:jc w:val="left"/>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黄色K字母方块（含底座）</w:t>
            </w:r>
          </w:p>
          <w:p>
            <w:pPr>
              <w:pStyle w:val="19"/>
              <w:numPr>
                <w:ilvl w:val="0"/>
                <w:numId w:val="5"/>
              </w:numPr>
              <w:jc w:val="left"/>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黄色方块（含底座）</w:t>
            </w:r>
          </w:p>
        </w:tc>
        <w:tc>
          <w:tcPr>
            <w:tcW w:w="1276" w:type="dxa"/>
            <w:shd w:val="clear" w:color="auto" w:fill="FFFFFF"/>
            <w:vAlign w:val="center"/>
          </w:tcPr>
          <w:p>
            <w:pPr>
              <w:pStyle w:val="19"/>
              <w:ind w:firstLine="0"/>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30分/个</w:t>
            </w:r>
          </w:p>
        </w:tc>
        <w:tc>
          <w:tcPr>
            <w:tcW w:w="1417" w:type="dxa"/>
            <w:shd w:val="clear" w:color="auto" w:fill="FFFFFF"/>
            <w:vAlign w:val="center"/>
          </w:tcPr>
          <w:p>
            <w:pPr>
              <w:pStyle w:val="19"/>
              <w:ind w:firstLine="0"/>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30分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00" w:hRule="atLeast"/>
          <w:jc w:val="center"/>
        </w:trPr>
        <w:tc>
          <w:tcPr>
            <w:tcW w:w="2835" w:type="dxa"/>
            <w:vAlign w:val="center"/>
          </w:tcPr>
          <w:p>
            <w:pPr>
              <w:pStyle w:val="19"/>
              <w:ind w:firstLine="0"/>
              <w:rPr>
                <w:rFonts w:hint="eastAsia"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M03 采集数据块</w:t>
            </w:r>
          </w:p>
        </w:tc>
        <w:tc>
          <w:tcPr>
            <w:tcW w:w="2977" w:type="dxa"/>
            <w:vAlign w:val="center"/>
          </w:tcPr>
          <w:p>
            <w:pPr>
              <w:pStyle w:val="19"/>
              <w:ind w:firstLine="0"/>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红色/蓝色字母方块</w:t>
            </w:r>
          </w:p>
        </w:tc>
        <w:tc>
          <w:tcPr>
            <w:tcW w:w="1276" w:type="dxa"/>
            <w:vAlign w:val="center"/>
          </w:tcPr>
          <w:p>
            <w:pPr>
              <w:pStyle w:val="19"/>
              <w:ind w:firstLine="0"/>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30分/个</w:t>
            </w:r>
          </w:p>
        </w:tc>
        <w:tc>
          <w:tcPr>
            <w:tcW w:w="1417" w:type="dxa"/>
            <w:vAlign w:val="center"/>
          </w:tcPr>
          <w:p>
            <w:pPr>
              <w:pStyle w:val="19"/>
              <w:ind w:firstLine="0"/>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30分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00" w:hRule="atLeast"/>
          <w:jc w:val="center"/>
        </w:trPr>
        <w:tc>
          <w:tcPr>
            <w:tcW w:w="2835" w:type="dxa"/>
            <w:vAlign w:val="center"/>
          </w:tcPr>
          <w:p>
            <w:pPr>
              <w:pStyle w:val="19"/>
              <w:ind w:firstLine="0"/>
              <w:rPr>
                <w:rFonts w:hint="eastAsia"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M04 智能制造</w:t>
            </w:r>
          </w:p>
        </w:tc>
        <w:tc>
          <w:tcPr>
            <w:tcW w:w="2977" w:type="dxa"/>
            <w:vAlign w:val="center"/>
          </w:tcPr>
          <w:p>
            <w:pPr>
              <w:pStyle w:val="19"/>
              <w:ind w:firstLine="0"/>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红/蓝“M“或”X“字母朝上方块</w:t>
            </w:r>
          </w:p>
        </w:tc>
        <w:tc>
          <w:tcPr>
            <w:tcW w:w="1276" w:type="dxa"/>
            <w:vAlign w:val="center"/>
          </w:tcPr>
          <w:p>
            <w:pPr>
              <w:pStyle w:val="19"/>
              <w:ind w:firstLine="0"/>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20分/个</w:t>
            </w:r>
          </w:p>
        </w:tc>
        <w:tc>
          <w:tcPr>
            <w:tcW w:w="1417" w:type="dxa"/>
            <w:vAlign w:val="center"/>
          </w:tcPr>
          <w:p>
            <w:pPr>
              <w:pStyle w:val="19"/>
              <w:ind w:firstLine="0"/>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20分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00" w:hRule="atLeast"/>
          <w:jc w:val="center"/>
        </w:trPr>
        <w:tc>
          <w:tcPr>
            <w:tcW w:w="2835" w:type="dxa"/>
            <w:vAlign w:val="center"/>
          </w:tcPr>
          <w:p>
            <w:pPr>
              <w:pStyle w:val="19"/>
              <w:ind w:firstLine="0"/>
              <w:rPr>
                <w:rFonts w:hint="eastAsia"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M05 处理污染物</w:t>
            </w:r>
          </w:p>
        </w:tc>
        <w:tc>
          <w:tcPr>
            <w:tcW w:w="2977" w:type="dxa"/>
            <w:vAlign w:val="center"/>
          </w:tcPr>
          <w:p>
            <w:pPr>
              <w:pStyle w:val="19"/>
              <w:numPr>
                <w:ilvl w:val="0"/>
                <w:numId w:val="6"/>
              </w:numPr>
              <w:jc w:val="left"/>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红/蓝“M“或”X“字母朝上方块</w:t>
            </w:r>
          </w:p>
          <w:p>
            <w:pPr>
              <w:pStyle w:val="19"/>
              <w:numPr>
                <w:ilvl w:val="0"/>
                <w:numId w:val="6"/>
              </w:numPr>
              <w:jc w:val="left"/>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红色/蓝色字母方块</w:t>
            </w:r>
          </w:p>
        </w:tc>
        <w:tc>
          <w:tcPr>
            <w:tcW w:w="1276" w:type="dxa"/>
            <w:vAlign w:val="center"/>
          </w:tcPr>
          <w:p>
            <w:pPr>
              <w:pStyle w:val="19"/>
              <w:numPr>
                <w:ilvl w:val="0"/>
                <w:numId w:val="6"/>
              </w:numPr>
              <w:jc w:val="left"/>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10分/个</w:t>
            </w:r>
          </w:p>
          <w:p>
            <w:pPr>
              <w:pStyle w:val="19"/>
              <w:numPr>
                <w:ilvl w:val="0"/>
                <w:numId w:val="6"/>
              </w:numPr>
              <w:jc w:val="left"/>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30分/个</w:t>
            </w:r>
          </w:p>
        </w:tc>
        <w:tc>
          <w:tcPr>
            <w:tcW w:w="1417" w:type="dxa"/>
            <w:vAlign w:val="center"/>
          </w:tcPr>
          <w:p>
            <w:pPr>
              <w:pStyle w:val="19"/>
              <w:numPr>
                <w:ilvl w:val="0"/>
                <w:numId w:val="6"/>
              </w:numPr>
              <w:jc w:val="left"/>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10分/个</w:t>
            </w:r>
          </w:p>
          <w:p>
            <w:pPr>
              <w:pStyle w:val="19"/>
              <w:numPr>
                <w:ilvl w:val="0"/>
                <w:numId w:val="6"/>
              </w:numPr>
              <w:jc w:val="left"/>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30分/个</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00" w:hRule="atLeast"/>
          <w:jc w:val="center"/>
        </w:trPr>
        <w:tc>
          <w:tcPr>
            <w:tcW w:w="2835" w:type="dxa"/>
            <w:vAlign w:val="center"/>
          </w:tcPr>
          <w:p>
            <w:pPr>
              <w:pStyle w:val="19"/>
              <w:ind w:firstLine="0"/>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M06 堆放储物仓</w:t>
            </w:r>
          </w:p>
        </w:tc>
        <w:tc>
          <w:tcPr>
            <w:tcW w:w="2977" w:type="dxa"/>
            <w:vAlign w:val="center"/>
          </w:tcPr>
          <w:p>
            <w:pPr>
              <w:pStyle w:val="19"/>
              <w:numPr>
                <w:ilvl w:val="0"/>
                <w:numId w:val="6"/>
              </w:numPr>
              <w:jc w:val="left"/>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红色/蓝色字母方块</w:t>
            </w:r>
          </w:p>
          <w:p>
            <w:pPr>
              <w:pStyle w:val="19"/>
              <w:numPr>
                <w:ilvl w:val="0"/>
                <w:numId w:val="6"/>
              </w:numPr>
              <w:jc w:val="left"/>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黄色方块</w:t>
            </w:r>
          </w:p>
        </w:tc>
        <w:tc>
          <w:tcPr>
            <w:tcW w:w="1276" w:type="dxa"/>
            <w:vAlign w:val="center"/>
          </w:tcPr>
          <w:p>
            <w:pPr>
              <w:pStyle w:val="19"/>
              <w:numPr>
                <w:ilvl w:val="0"/>
                <w:numId w:val="6"/>
              </w:numPr>
              <w:jc w:val="left"/>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30分/个</w:t>
            </w:r>
          </w:p>
          <w:p>
            <w:pPr>
              <w:pStyle w:val="19"/>
              <w:numPr>
                <w:ilvl w:val="0"/>
                <w:numId w:val="6"/>
              </w:numPr>
              <w:jc w:val="left"/>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10分/个</w:t>
            </w:r>
          </w:p>
        </w:tc>
        <w:tc>
          <w:tcPr>
            <w:tcW w:w="1417" w:type="dxa"/>
            <w:vAlign w:val="center"/>
          </w:tcPr>
          <w:p>
            <w:pPr>
              <w:pStyle w:val="19"/>
              <w:numPr>
                <w:ilvl w:val="0"/>
                <w:numId w:val="6"/>
              </w:numPr>
              <w:jc w:val="left"/>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60分/个</w:t>
            </w:r>
          </w:p>
          <w:p>
            <w:pPr>
              <w:pStyle w:val="19"/>
              <w:numPr>
                <w:ilvl w:val="0"/>
                <w:numId w:val="6"/>
              </w:numPr>
              <w:jc w:val="left"/>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10分/个</w:t>
            </w:r>
          </w:p>
        </w:tc>
      </w:tr>
    </w:tbl>
    <w:p>
      <w:pPr>
        <w:pStyle w:val="7"/>
        <w:keepNext w:val="0"/>
        <w:keepLines w:val="0"/>
        <w:widowControl w:val="0"/>
        <w:shd w:val="clear" w:color="auto" w:fill="auto"/>
        <w:bidi w:val="0"/>
        <w:spacing w:before="0" w:after="0" w:line="413" w:lineRule="exact"/>
        <w:ind w:left="0" w:right="0" w:firstLine="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r>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t>合作任务得分</w:t>
      </w:r>
    </w:p>
    <w:p>
      <w:pPr>
        <w:pStyle w:val="7"/>
        <w:keepNext w:val="0"/>
        <w:keepLines w:val="0"/>
        <w:widowControl w:val="0"/>
        <w:shd w:val="clear" w:color="auto" w:fill="auto"/>
        <w:bidi w:val="0"/>
        <w:spacing w:before="0" w:after="0" w:line="413" w:lineRule="exact"/>
        <w:ind w:left="0" w:right="0" w:firstLine="480"/>
        <w:jc w:val="left"/>
        <w:rPr>
          <w:rFonts w:hint="default"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p>
    <w:tbl>
      <w:tblPr>
        <w:tblStyle w:val="5"/>
        <w:tblW w:w="0" w:type="auto"/>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 w:type="dxa"/>
          <w:bottom w:w="0" w:type="dxa"/>
          <w:right w:w="10" w:type="dxa"/>
        </w:tblCellMar>
      </w:tblPr>
      <w:tblGrid>
        <w:gridCol w:w="2371"/>
        <w:gridCol w:w="2722"/>
        <w:gridCol w:w="1560"/>
        <w:gridCol w:w="164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00" w:hRule="atLeast"/>
          <w:jc w:val="center"/>
        </w:trPr>
        <w:tc>
          <w:tcPr>
            <w:tcW w:w="2371" w:type="dxa"/>
            <w:vAlign w:val="center"/>
          </w:tcPr>
          <w:p>
            <w:pPr>
              <w:pStyle w:val="19"/>
              <w:ind w:firstLine="0"/>
              <w:jc w:val="center"/>
              <w:rPr>
                <w:rFonts w:hint="eastAsia"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sz w:val="20"/>
                <w:szCs w:val="20"/>
                <w14:textFill>
                  <w14:solidFill>
                    <w14:schemeClr w14:val="tx1"/>
                  </w14:solidFill>
                </w14:textFill>
              </w:rPr>
              <w:t>比赛任务</w:t>
            </w:r>
          </w:p>
        </w:tc>
        <w:tc>
          <w:tcPr>
            <w:tcW w:w="2722" w:type="dxa"/>
            <w:vAlign w:val="center"/>
          </w:tcPr>
          <w:p>
            <w:pPr>
              <w:pStyle w:val="19"/>
              <w:ind w:firstLine="0"/>
              <w:jc w:val="center"/>
              <w:rPr>
                <w:rFonts w:hint="eastAsia"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sz w:val="20"/>
                <w:szCs w:val="20"/>
                <w14:textFill>
                  <w14:solidFill>
                    <w14:schemeClr w14:val="tx1"/>
                  </w14:solidFill>
                </w14:textFill>
              </w:rPr>
              <w:t>得分道具</w:t>
            </w:r>
          </w:p>
        </w:tc>
        <w:tc>
          <w:tcPr>
            <w:tcW w:w="1560" w:type="dxa"/>
            <w:vAlign w:val="center"/>
          </w:tcPr>
          <w:p>
            <w:pPr>
              <w:pStyle w:val="19"/>
              <w:ind w:firstLine="0"/>
              <w:jc w:val="center"/>
              <w:rPr>
                <w:rFonts w:hint="eastAsia"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sz w:val="20"/>
                <w:szCs w:val="20"/>
                <w14:textFill>
                  <w14:solidFill>
                    <w14:schemeClr w14:val="tx1"/>
                  </w14:solidFill>
                </w14:textFill>
              </w:rPr>
              <w:t>单个道具得分</w:t>
            </w:r>
          </w:p>
        </w:tc>
        <w:tc>
          <w:tcPr>
            <w:tcW w:w="1649" w:type="dxa"/>
            <w:vAlign w:val="center"/>
          </w:tcPr>
          <w:p>
            <w:pPr>
              <w:pStyle w:val="19"/>
              <w:ind w:firstLine="0"/>
              <w:jc w:val="center"/>
              <w:rPr>
                <w:rFonts w:hint="eastAsia"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sz w:val="20"/>
                <w:szCs w:val="20"/>
                <w14:textFill>
                  <w14:solidFill>
                    <w14:schemeClr w14:val="tx1"/>
                  </w14:solidFill>
                </w14:textFill>
              </w:rPr>
              <w:t>理论最高分值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00" w:hRule="atLeast"/>
          <w:jc w:val="center"/>
        </w:trPr>
        <w:tc>
          <w:tcPr>
            <w:tcW w:w="2371" w:type="dxa"/>
            <w:vAlign w:val="center"/>
          </w:tcPr>
          <w:p>
            <w:pPr>
              <w:pStyle w:val="19"/>
              <w:ind w:firstLine="0"/>
              <w:rPr>
                <w:rFonts w:hint="eastAsia"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M07 点燃反物质燃料棒</w:t>
            </w:r>
          </w:p>
        </w:tc>
        <w:tc>
          <w:tcPr>
            <w:tcW w:w="2722" w:type="dxa"/>
            <w:vAlign w:val="center"/>
          </w:tcPr>
          <w:p>
            <w:pPr>
              <w:pStyle w:val="19"/>
              <w:ind w:firstLine="0"/>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符合得分判定的解码转筒装置</w:t>
            </w:r>
          </w:p>
        </w:tc>
        <w:tc>
          <w:tcPr>
            <w:tcW w:w="1560" w:type="dxa"/>
            <w:vAlign w:val="center"/>
          </w:tcPr>
          <w:p>
            <w:pPr>
              <w:pStyle w:val="19"/>
              <w:ind w:firstLine="0"/>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30分/个</w:t>
            </w:r>
          </w:p>
        </w:tc>
        <w:tc>
          <w:tcPr>
            <w:tcW w:w="1649" w:type="dxa"/>
            <w:vAlign w:val="center"/>
          </w:tcPr>
          <w:p>
            <w:pPr>
              <w:pStyle w:val="19"/>
              <w:ind w:firstLine="0"/>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90分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00" w:hRule="atLeast"/>
          <w:jc w:val="center"/>
        </w:trPr>
        <w:tc>
          <w:tcPr>
            <w:tcW w:w="2371" w:type="dxa"/>
            <w:vAlign w:val="center"/>
          </w:tcPr>
          <w:p>
            <w:pPr>
              <w:pStyle w:val="19"/>
              <w:ind w:firstLine="0"/>
              <w:rPr>
                <w:rFonts w:hint="eastAsia"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M08 运转矩阵研究站</w:t>
            </w:r>
          </w:p>
        </w:tc>
        <w:tc>
          <w:tcPr>
            <w:tcW w:w="2722" w:type="dxa"/>
            <w:vAlign w:val="center"/>
          </w:tcPr>
          <w:p>
            <w:pPr>
              <w:pStyle w:val="19"/>
              <w:numPr>
                <w:ilvl w:val="0"/>
                <w:numId w:val="7"/>
              </w:numPr>
              <w:jc w:val="left"/>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符合得分判定的红蓝字母方块</w:t>
            </w:r>
          </w:p>
          <w:p>
            <w:pPr>
              <w:pStyle w:val="19"/>
              <w:numPr>
                <w:ilvl w:val="0"/>
                <w:numId w:val="7"/>
              </w:numPr>
              <w:jc w:val="left"/>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完成两个”MAKEX“排列</w:t>
            </w:r>
          </w:p>
        </w:tc>
        <w:tc>
          <w:tcPr>
            <w:tcW w:w="1560" w:type="dxa"/>
            <w:vAlign w:val="center"/>
          </w:tcPr>
          <w:p>
            <w:pPr>
              <w:pStyle w:val="19"/>
              <w:numPr>
                <w:ilvl w:val="0"/>
                <w:numId w:val="6"/>
              </w:numPr>
              <w:jc w:val="left"/>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20分/个</w:t>
            </w:r>
          </w:p>
          <w:p>
            <w:pPr>
              <w:pStyle w:val="19"/>
              <w:numPr>
                <w:ilvl w:val="0"/>
                <w:numId w:val="6"/>
              </w:numPr>
              <w:jc w:val="left"/>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50分/</w:t>
            </w:r>
            <w:r>
              <w:rPr>
                <w:rFonts w:hint="eastAsia" w:ascii="仿宋" w:hAnsi="仿宋" w:eastAsia="仿宋" w:cs="仿宋"/>
                <w:color w:val="000000" w:themeColor="text1"/>
                <w:sz w:val="20"/>
                <w:szCs w:val="20"/>
                <w:lang w:val="en-US" w:eastAsia="zh-CN"/>
                <w14:textFill>
                  <w14:solidFill>
                    <w14:schemeClr w14:val="tx1"/>
                  </w14:solidFill>
                </w14:textFill>
              </w:rPr>
              <w:t>组</w:t>
            </w:r>
          </w:p>
        </w:tc>
        <w:tc>
          <w:tcPr>
            <w:tcW w:w="1649" w:type="dxa"/>
            <w:vAlign w:val="center"/>
          </w:tcPr>
          <w:p>
            <w:pPr>
              <w:pStyle w:val="19"/>
              <w:numPr>
                <w:ilvl w:val="0"/>
                <w:numId w:val="6"/>
              </w:numPr>
              <w:jc w:val="left"/>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180分</w:t>
            </w:r>
          </w:p>
          <w:p>
            <w:pPr>
              <w:pStyle w:val="19"/>
              <w:numPr>
                <w:ilvl w:val="0"/>
                <w:numId w:val="6"/>
              </w:numPr>
              <w:jc w:val="left"/>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100分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00" w:hRule="atLeast"/>
          <w:jc w:val="center"/>
        </w:trPr>
        <w:tc>
          <w:tcPr>
            <w:tcW w:w="2371" w:type="dxa"/>
            <w:vAlign w:val="center"/>
          </w:tcPr>
          <w:p>
            <w:pPr>
              <w:pStyle w:val="19"/>
              <w:ind w:firstLine="0"/>
              <w:rPr>
                <w:rFonts w:hint="eastAsia"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M09 摆放战队标记物</w:t>
            </w:r>
          </w:p>
        </w:tc>
        <w:tc>
          <w:tcPr>
            <w:tcW w:w="2722" w:type="dxa"/>
            <w:vAlign w:val="center"/>
          </w:tcPr>
          <w:p>
            <w:pPr>
              <w:pStyle w:val="19"/>
              <w:ind w:firstLine="0"/>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符合规范的自制道具</w:t>
            </w:r>
          </w:p>
        </w:tc>
        <w:tc>
          <w:tcPr>
            <w:tcW w:w="1560" w:type="dxa"/>
            <w:vAlign w:val="center"/>
          </w:tcPr>
          <w:p>
            <w:pPr>
              <w:pStyle w:val="19"/>
              <w:ind w:firstLine="0"/>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lang w:val="en-US" w:eastAsia="zh-CN"/>
                <w14:textFill>
                  <w14:solidFill>
                    <w14:schemeClr w14:val="tx1"/>
                  </w14:solidFill>
                </w14:textFill>
              </w:rPr>
              <w:t>30</w:t>
            </w:r>
            <w:r>
              <w:rPr>
                <w:rFonts w:hint="eastAsia" w:ascii="仿宋" w:hAnsi="仿宋" w:eastAsia="仿宋" w:cs="仿宋"/>
                <w:color w:val="000000" w:themeColor="text1"/>
                <w:sz w:val="20"/>
                <w:szCs w:val="20"/>
                <w14:textFill>
                  <w14:solidFill>
                    <w14:schemeClr w14:val="tx1"/>
                  </w14:solidFill>
                </w14:textFill>
              </w:rPr>
              <w:t>分/个</w:t>
            </w:r>
          </w:p>
        </w:tc>
        <w:tc>
          <w:tcPr>
            <w:tcW w:w="1649" w:type="dxa"/>
            <w:vAlign w:val="center"/>
          </w:tcPr>
          <w:p>
            <w:pPr>
              <w:pStyle w:val="19"/>
              <w:ind w:firstLine="0"/>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lang w:val="en-US" w:eastAsia="zh-CN"/>
                <w14:textFill>
                  <w14:solidFill>
                    <w14:schemeClr w14:val="tx1"/>
                  </w14:solidFill>
                </w14:textFill>
              </w:rPr>
              <w:t>6</w:t>
            </w:r>
            <w:r>
              <w:rPr>
                <w:rFonts w:hint="eastAsia" w:ascii="仿宋" w:hAnsi="仿宋" w:eastAsia="仿宋" w:cs="仿宋"/>
                <w:color w:val="000000" w:themeColor="text1"/>
                <w:sz w:val="20"/>
                <w:szCs w:val="20"/>
                <w14:textFill>
                  <w14:solidFill>
                    <w14:schemeClr w14:val="tx1"/>
                  </w14:solidFill>
                </w14:textFill>
              </w:rPr>
              <w:t>0</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黑体" w:hAnsi="黑体" w:eastAsia="黑体" w:cs="黑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pPr>
      <w:r>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t>单场比赛结束后，裁判将确认战队单场得分，每支战队单场得分由三部分构成：独立任务得分、合作任务得分与违例扣分。单场得分将用于计算资格排位赛排名或冠军争夺战排名。</w:t>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r>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t>计分方式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pPr>
      <w:r>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t>资格排位赛单场得分：红方独立任务得分+蓝方独立任务得分+合作任务得分 -双方违例扣分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pPr>
      <w:r>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t>资格排位赛单场最高分：210分+210分+430分-0分=850分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黑体" w:hAnsi="黑体" w:eastAsia="黑体" w:cs="黑体"/>
          <w:b/>
          <w:bCs/>
          <w:color w:val="000000" w:themeColor="text1"/>
          <w:sz w:val="24"/>
          <w:szCs w:val="24"/>
          <w:lang w:val="en-US" w:eastAsia="zh-CN"/>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4.7单场比赛流程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pPr>
      <w:r>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t>比赛时间共计240秒。对于任意队伍，其比赛阶段及切换时间如下: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r>
        <w:drawing>
          <wp:anchor distT="0" distB="0" distL="114300" distR="114300" simplePos="0" relativeHeight="251680768" behindDoc="0" locked="0" layoutInCell="1" allowOverlap="1">
            <wp:simplePos x="0" y="0"/>
            <wp:positionH relativeFrom="margin">
              <wp:posOffset>245745</wp:posOffset>
            </wp:positionH>
            <wp:positionV relativeFrom="paragraph">
              <wp:posOffset>250825</wp:posOffset>
            </wp:positionV>
            <wp:extent cx="5220970" cy="417830"/>
            <wp:effectExtent l="0" t="0" r="6350" b="8890"/>
            <wp:wrapTopAndBottom/>
            <wp:docPr id="28" name="Draw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20970" cy="417830"/>
                    </a:xfrm>
                    <a:prstGeom prst="rect">
                      <a:avLst/>
                    </a:prstGeom>
                  </pic:spPr>
                </pic:pic>
              </a:graphicData>
            </a:graphic>
          </wp:anchor>
        </w:drawing>
      </w:r>
      <w: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t>单场比赛流程图</w:t>
      </w:r>
    </w:p>
    <w:p>
      <w:pPr>
        <w:pStyle w:val="7"/>
        <w:keepNext w:val="0"/>
        <w:keepLines w:val="0"/>
        <w:widowControl w:val="0"/>
        <w:shd w:val="clear" w:color="auto" w:fill="auto"/>
        <w:bidi w:val="0"/>
        <w:spacing w:before="0" w:after="0" w:line="413" w:lineRule="exact"/>
        <w:ind w:left="0" w:right="0" w:firstLine="480"/>
        <w:jc w:val="left"/>
        <w:rPr>
          <w:rFonts w:hint="default"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r>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t>4.7.1 到场准备</w:t>
      </w:r>
    </w:p>
    <w:p>
      <w:pPr>
        <w:keepNext w:val="0"/>
        <w:keepLines w:val="0"/>
        <w:widowControl w:val="0"/>
        <w:numPr>
          <w:ilvl w:val="0"/>
          <w:numId w:val="0"/>
        </w:numPr>
        <w:shd w:val="clear" w:color="auto" w:fill="auto"/>
        <w:bidi w:val="0"/>
        <w:spacing w:before="0" w:after="0" w:line="360" w:lineRule="auto"/>
        <w:ind w:left="0" w:right="0" w:firstLine="440" w:firstLineChars="200"/>
        <w:jc w:val="both"/>
        <w:rPr>
          <w:rFonts w:hint="eastAsia" w:ascii="仿宋" w:hAnsi="仿宋" w:eastAsia="仿宋" w:cs="仿宋"/>
          <w:i w:val="0"/>
          <w:iCs w:val="0"/>
          <w:color w:val="000000" w:themeColor="text1"/>
          <w:kern w:val="0"/>
          <w:sz w:val="22"/>
          <w:szCs w:val="22"/>
          <w:u w:val="none"/>
          <w:shd w:val="clear" w:color="auto" w:fill="auto"/>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shd w:val="clear" w:color="auto" w:fill="auto"/>
          <w:lang w:val="en-US" w:eastAsia="zh-CN" w:bidi="ar-SA"/>
          <w14:textFill>
            <w14:solidFill>
              <w14:schemeClr w14:val="tx1"/>
            </w14:solidFill>
          </w14:textFill>
        </w:rPr>
        <w:t>单场比赛开始前，选手应按照赛程时间提前抵达场地，并在裁判的引导下做好以下准备：</w:t>
      </w:r>
    </w:p>
    <w:p>
      <w:pPr>
        <w:keepNext w:val="0"/>
        <w:keepLines w:val="0"/>
        <w:widowControl w:val="0"/>
        <w:numPr>
          <w:ilvl w:val="0"/>
          <w:numId w:val="0"/>
        </w:numPr>
        <w:shd w:val="clear" w:color="auto" w:fill="auto"/>
        <w:bidi w:val="0"/>
        <w:spacing w:before="0" w:after="0" w:line="360" w:lineRule="auto"/>
        <w:ind w:left="0" w:right="0" w:firstLine="440" w:firstLineChars="200"/>
        <w:jc w:val="both"/>
        <w:rPr>
          <w:rFonts w:hint="eastAsia" w:ascii="仿宋" w:hAnsi="仿宋" w:eastAsia="仿宋" w:cs="仿宋"/>
          <w:i w:val="0"/>
          <w:iCs w:val="0"/>
          <w:color w:val="000000" w:themeColor="text1"/>
          <w:kern w:val="0"/>
          <w:sz w:val="22"/>
          <w:szCs w:val="22"/>
          <w:u w:val="none"/>
          <w:shd w:val="clear" w:color="auto" w:fill="auto"/>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shd w:val="clear" w:color="auto" w:fill="auto"/>
          <w:lang w:val="en-US" w:eastAsia="zh-CN" w:bidi="ar-SA"/>
          <w14:textFill>
            <w14:solidFill>
              <w14:schemeClr w14:val="tx1"/>
            </w14:solidFill>
          </w14:textFill>
        </w:rPr>
        <w:t>（1）将机器人电源保持开启状态，完全放在本方自动任务区的启动区内，蓝牙手柄保持开启状态，放在手动任务区的启动区内或场地边框外，战队标记物放置于手动任务区的手动装载两侧的方形区域内；</w:t>
      </w:r>
    </w:p>
    <w:p>
      <w:pPr>
        <w:keepNext w:val="0"/>
        <w:keepLines w:val="0"/>
        <w:widowControl w:val="0"/>
        <w:numPr>
          <w:ilvl w:val="0"/>
          <w:numId w:val="0"/>
        </w:numPr>
        <w:shd w:val="clear" w:color="auto" w:fill="auto"/>
        <w:bidi w:val="0"/>
        <w:spacing w:before="0" w:after="0" w:line="360" w:lineRule="auto"/>
        <w:ind w:left="0" w:right="0" w:firstLine="440" w:firstLineChars="200"/>
        <w:jc w:val="both"/>
        <w:rPr>
          <w:rFonts w:hint="eastAsia" w:ascii="仿宋" w:hAnsi="仿宋" w:eastAsia="仿宋" w:cs="仿宋"/>
          <w:i w:val="0"/>
          <w:iCs w:val="0"/>
          <w:color w:val="000000" w:themeColor="text1"/>
          <w:kern w:val="0"/>
          <w:sz w:val="22"/>
          <w:szCs w:val="22"/>
          <w:u w:val="none"/>
          <w:shd w:val="clear" w:color="auto" w:fill="auto"/>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shd w:val="clear" w:color="auto" w:fill="auto"/>
          <w:lang w:val="en-US" w:eastAsia="zh-CN" w:bidi="ar-SA"/>
          <w14:textFill>
            <w14:solidFill>
              <w14:schemeClr w14:val="tx1"/>
            </w14:solidFill>
          </w14:textFill>
        </w:rPr>
        <w:t>（2）选出一名战队代表抽取道具卡，并按照道具卡摆放M01、M04、M06与M07任务道具位置；</w:t>
      </w:r>
    </w:p>
    <w:p>
      <w:pPr>
        <w:keepNext w:val="0"/>
        <w:keepLines w:val="0"/>
        <w:widowControl w:val="0"/>
        <w:numPr>
          <w:ilvl w:val="0"/>
          <w:numId w:val="0"/>
        </w:numPr>
        <w:shd w:val="clear" w:color="auto" w:fill="auto"/>
        <w:bidi w:val="0"/>
        <w:spacing w:before="0" w:after="0" w:line="360" w:lineRule="auto"/>
        <w:ind w:left="0" w:right="0" w:firstLine="440" w:firstLineChars="200"/>
        <w:jc w:val="both"/>
        <w:rPr>
          <w:rFonts w:hint="eastAsia" w:ascii="仿宋" w:hAnsi="仿宋" w:eastAsia="仿宋" w:cs="仿宋"/>
          <w:i w:val="0"/>
          <w:iCs w:val="0"/>
          <w:color w:val="000000" w:themeColor="text1"/>
          <w:kern w:val="0"/>
          <w:sz w:val="22"/>
          <w:szCs w:val="22"/>
          <w:u w:val="none"/>
          <w:shd w:val="clear" w:color="auto" w:fill="auto"/>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shd w:val="clear" w:color="auto" w:fill="auto"/>
          <w:lang w:val="en-US" w:eastAsia="zh-CN" w:bidi="ar-SA"/>
          <w14:textFill>
            <w14:solidFill>
              <w14:schemeClr w14:val="tx1"/>
            </w14:solidFill>
          </w14:textFill>
        </w:rPr>
        <w:t>（3）检查场地和道具摆放是否规范；</w:t>
      </w:r>
    </w:p>
    <w:p>
      <w:pPr>
        <w:pStyle w:val="7"/>
        <w:keepNext w:val="0"/>
        <w:keepLines w:val="0"/>
        <w:widowControl w:val="0"/>
        <w:numPr>
          <w:ilvl w:val="0"/>
          <w:numId w:val="0"/>
        </w:numPr>
        <w:shd w:val="clear" w:color="auto" w:fill="auto"/>
        <w:bidi w:val="0"/>
        <w:spacing w:before="0" w:after="0" w:line="413" w:lineRule="exact"/>
        <w:ind w:left="480" w:leftChars="0" w:right="0" w:rightChars="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shd w:val="clear" w:color="auto" w:fill="auto"/>
          <w:lang w:val="en-US" w:eastAsia="zh-CN" w:bidi="ar-SA"/>
          <w14:textFill>
            <w14:solidFill>
              <w14:schemeClr w14:val="tx1"/>
            </w14:solidFill>
          </w14:textFill>
        </w:rPr>
        <w:t>（4）等待裁判指令。</w:t>
      </w:r>
    </w:p>
    <w:p>
      <w:pPr>
        <w:pStyle w:val="7"/>
        <w:keepNext w:val="0"/>
        <w:keepLines w:val="0"/>
        <w:widowControl w:val="0"/>
        <w:numPr>
          <w:ilvl w:val="0"/>
          <w:numId w:val="0"/>
        </w:numPr>
        <w:shd w:val="clear" w:color="auto" w:fill="auto"/>
        <w:bidi w:val="0"/>
        <w:spacing w:before="0" w:after="0" w:line="413" w:lineRule="exact"/>
        <w:ind w:left="480" w:leftChars="0" w:right="0" w:rightChars="0"/>
        <w:jc w:val="left"/>
        <w:rPr>
          <w:rFonts w:hint="default"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r>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t>4.7.2</w:t>
      </w:r>
      <w:r>
        <w:rPr>
          <w:rFonts w:hint="default"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t>自动控制阶段</w:t>
      </w:r>
    </w:p>
    <w:p>
      <w:pPr>
        <w:keepNext w:val="0"/>
        <w:keepLines w:val="0"/>
        <w:widowControl w:val="0"/>
        <w:numPr>
          <w:ilvl w:val="0"/>
          <w:numId w:val="0"/>
        </w:numPr>
        <w:shd w:val="clear" w:color="auto" w:fill="auto"/>
        <w:bidi w:val="0"/>
        <w:spacing w:before="0" w:after="0" w:line="360" w:lineRule="auto"/>
        <w:ind w:left="0" w:right="0" w:firstLine="440" w:firstLineChars="200"/>
        <w:jc w:val="both"/>
        <w:rPr>
          <w:rFonts w:hint="eastAsia" w:ascii="仿宋" w:hAnsi="仿宋" w:eastAsia="仿宋" w:cs="仿宋"/>
          <w:i w:val="0"/>
          <w:iCs w:val="0"/>
          <w:color w:val="000000" w:themeColor="text1"/>
          <w:kern w:val="0"/>
          <w:sz w:val="22"/>
          <w:szCs w:val="22"/>
          <w:u w:val="none"/>
          <w:shd w:val="clear" w:color="auto" w:fill="auto"/>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shd w:val="clear" w:color="auto" w:fill="auto"/>
          <w:lang w:val="en-US" w:eastAsia="zh-CN" w:bidi="ar-SA"/>
          <w14:textFill>
            <w14:solidFill>
              <w14:schemeClr w14:val="tx1"/>
            </w14:solidFill>
          </w14:textFill>
        </w:rPr>
        <w:t>裁判宣布5秒倒计时，自动控制阶段计时开始：</w:t>
      </w:r>
    </w:p>
    <w:p>
      <w:pPr>
        <w:keepNext w:val="0"/>
        <w:keepLines w:val="0"/>
        <w:widowControl w:val="0"/>
        <w:numPr>
          <w:ilvl w:val="0"/>
          <w:numId w:val="0"/>
        </w:numPr>
        <w:shd w:val="clear" w:color="auto" w:fill="auto"/>
        <w:bidi w:val="0"/>
        <w:spacing w:before="0" w:after="0" w:line="360" w:lineRule="auto"/>
        <w:ind w:left="0" w:right="0" w:firstLine="440" w:firstLineChars="200"/>
        <w:jc w:val="both"/>
        <w:rPr>
          <w:rFonts w:hint="eastAsia" w:ascii="仿宋" w:hAnsi="仿宋" w:eastAsia="仿宋" w:cs="仿宋"/>
          <w:i w:val="0"/>
          <w:iCs w:val="0"/>
          <w:color w:val="000000" w:themeColor="text1"/>
          <w:kern w:val="0"/>
          <w:sz w:val="22"/>
          <w:szCs w:val="22"/>
          <w:u w:val="none"/>
          <w:shd w:val="clear" w:color="auto" w:fill="auto"/>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shd w:val="clear" w:color="auto" w:fill="auto"/>
          <w:lang w:val="en-US" w:eastAsia="zh-CN" w:bidi="ar-SA"/>
          <w14:textFill>
            <w14:solidFill>
              <w14:schemeClr w14:val="tx1"/>
            </w14:solidFill>
          </w14:textFill>
        </w:rPr>
        <w:t>(1)自动阶段开始后，机器人通过运行自动程序在自动任务区内完成相应的任务，期间选手可以向裁判发起重启请求。</w:t>
      </w:r>
    </w:p>
    <w:p>
      <w:pPr>
        <w:keepNext w:val="0"/>
        <w:keepLines w:val="0"/>
        <w:widowControl w:val="0"/>
        <w:numPr>
          <w:ilvl w:val="0"/>
          <w:numId w:val="0"/>
        </w:numPr>
        <w:shd w:val="clear" w:color="auto" w:fill="auto"/>
        <w:bidi w:val="0"/>
        <w:spacing w:before="0" w:after="0" w:line="360" w:lineRule="auto"/>
        <w:ind w:left="0" w:right="0" w:firstLine="440" w:firstLineChars="200"/>
        <w:jc w:val="both"/>
        <w:rPr>
          <w:rFonts w:hint="eastAsia" w:ascii="仿宋" w:hAnsi="仿宋" w:eastAsia="仿宋" w:cs="仿宋"/>
          <w:i w:val="0"/>
          <w:iCs w:val="0"/>
          <w:color w:val="000000" w:themeColor="text1"/>
          <w:kern w:val="0"/>
          <w:sz w:val="22"/>
          <w:szCs w:val="22"/>
          <w:u w:val="none"/>
          <w:shd w:val="clear" w:color="auto" w:fill="auto"/>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shd w:val="clear" w:color="auto" w:fill="auto"/>
          <w:lang w:val="en-US" w:eastAsia="zh-CN" w:bidi="ar-SA"/>
          <w14:textFill>
            <w14:solidFill>
              <w14:schemeClr w14:val="tx1"/>
            </w14:solidFill>
          </w14:textFill>
        </w:rPr>
        <w:t>(2)自动阶段开始后，队伍可随时发起阶段切换申请，即比赛由自动控制阶段切换到手动控制阶段，进入手动任务区后机器人不可以再返回自动任务区。 阶段切换申请有且只有一次机会，参赛队员对于阶段的切换须自行达成一致意见, 并由队长发起，裁判同意后，红蓝双方同时进入手动任务区域。</w:t>
      </w:r>
    </w:p>
    <w:p>
      <w:pPr>
        <w:keepNext w:val="0"/>
        <w:keepLines w:val="0"/>
        <w:widowControl w:val="0"/>
        <w:numPr>
          <w:ilvl w:val="0"/>
          <w:numId w:val="0"/>
        </w:numPr>
        <w:shd w:val="clear" w:color="auto" w:fill="auto"/>
        <w:bidi w:val="0"/>
        <w:spacing w:before="0" w:after="0" w:line="360" w:lineRule="auto"/>
        <w:ind w:left="0" w:right="0" w:firstLine="440" w:firstLineChars="200"/>
        <w:jc w:val="both"/>
        <w:rPr>
          <w:rFonts w:hint="eastAsia" w:ascii="仿宋" w:hAnsi="仿宋" w:eastAsia="仿宋" w:cs="仿宋"/>
          <w:i w:val="0"/>
          <w:iCs w:val="0"/>
          <w:color w:val="000000" w:themeColor="text1"/>
          <w:kern w:val="0"/>
          <w:sz w:val="22"/>
          <w:szCs w:val="22"/>
          <w:u w:val="none"/>
          <w:shd w:val="clear" w:color="auto" w:fill="auto"/>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shd w:val="clear" w:color="auto" w:fill="auto"/>
          <w:lang w:val="en-US" w:eastAsia="zh-CN" w:bidi="ar-SA"/>
          <w14:textFill>
            <w14:solidFill>
              <w14:schemeClr w14:val="tx1"/>
            </w14:solidFill>
          </w14:textFill>
        </w:rPr>
        <w:t>(3)本阶段时长为0〜240秒，具体持续时间取决于队伍发起的阶段切换申请。</w:t>
      </w:r>
    </w:p>
    <w:p>
      <w:pPr>
        <w:pStyle w:val="7"/>
        <w:keepNext w:val="0"/>
        <w:keepLines w:val="0"/>
        <w:widowControl w:val="0"/>
        <w:numPr>
          <w:ilvl w:val="0"/>
          <w:numId w:val="0"/>
        </w:numPr>
        <w:shd w:val="clear" w:color="auto" w:fill="auto"/>
        <w:bidi w:val="0"/>
        <w:spacing w:before="0" w:after="0" w:line="413" w:lineRule="exact"/>
        <w:ind w:left="480" w:leftChars="0" w:right="0" w:rightChars="0"/>
        <w:jc w:val="left"/>
        <w:rPr>
          <w:rFonts w:hint="default"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r>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t>4.7.3自动控制计分</w:t>
      </w:r>
      <w:r>
        <w:rPr>
          <w:rFonts w:hint="default"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t>阶段</w:t>
      </w:r>
    </w:p>
    <w:p>
      <w:pPr>
        <w:keepNext w:val="0"/>
        <w:keepLines w:val="0"/>
        <w:widowControl w:val="0"/>
        <w:numPr>
          <w:ilvl w:val="0"/>
          <w:numId w:val="0"/>
        </w:numPr>
        <w:shd w:val="clear" w:color="auto" w:fill="auto"/>
        <w:bidi w:val="0"/>
        <w:spacing w:before="0" w:after="0" w:line="360" w:lineRule="auto"/>
        <w:ind w:left="0" w:leftChars="0" w:right="0" w:rightChars="0" w:firstLine="440" w:firstLineChars="200"/>
        <w:jc w:val="both"/>
        <w:rPr>
          <w:rFonts w:hint="eastAsia" w:ascii="仿宋" w:hAnsi="仿宋" w:eastAsia="仿宋" w:cs="仿宋"/>
          <w:b w:val="0"/>
          <w:bCs w:val="0"/>
          <w:i w:val="0"/>
          <w:iCs w:val="0"/>
          <w:color w:val="000000" w:themeColor="text1"/>
          <w:kern w:val="0"/>
          <w:sz w:val="22"/>
          <w:szCs w:val="22"/>
          <w:u w:val="none"/>
          <w:shd w:val="clear" w:color="auto" w:fill="auto"/>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color="auto" w:fill="auto"/>
          <w:lang w:val="en-US" w:eastAsia="zh-CN" w:bidi="ar-SA"/>
          <w14:textFill>
            <w14:solidFill>
              <w14:schemeClr w14:val="tx1"/>
            </w14:solidFill>
          </w14:textFill>
        </w:rPr>
        <w:t>队伍发起阶段切换，裁判同意后，比赛将会暂停计时，进入自动控制阶段的计分时刻。在此期间，选手不许触碰机器人，机器人保持在申请切换时的状态，等待裁判计分完成。</w:t>
      </w:r>
    </w:p>
    <w:p>
      <w:pPr>
        <w:pStyle w:val="7"/>
        <w:keepNext w:val="0"/>
        <w:keepLines w:val="0"/>
        <w:widowControl w:val="0"/>
        <w:shd w:val="clear" w:color="auto" w:fill="auto"/>
        <w:bidi w:val="0"/>
        <w:spacing w:before="0" w:after="0" w:line="413" w:lineRule="exact"/>
        <w:ind w:left="0" w:right="0" w:firstLine="480"/>
        <w:jc w:val="left"/>
        <w:rPr>
          <w:rFonts w:hint="default" w:ascii="黑体" w:hAnsi="黑体" w:eastAsia="黑体" w:cs="黑体"/>
          <w:i w:val="0"/>
          <w:iCs w:val="0"/>
          <w:color w:val="000000" w:themeColor="text1"/>
          <w:kern w:val="2"/>
          <w:sz w:val="21"/>
          <w:szCs w:val="21"/>
          <w:u w:val="none"/>
          <w:shd w:val="clear"/>
          <w:lang w:val="en-US" w:eastAsia="zh-CN" w:bidi="ar-SA"/>
          <w14:textFill>
            <w14:solidFill>
              <w14:schemeClr w14:val="tx1"/>
            </w14:solidFill>
          </w14:textFill>
        </w:rPr>
      </w:pPr>
      <w:r>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t>4.7.4</w:t>
      </w:r>
      <w:r>
        <w:rPr>
          <w:rFonts w:hint="default"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t>手动控制阶段</w:t>
      </w:r>
      <w:r>
        <w:rPr>
          <w:rFonts w:hint="default" w:ascii="黑体" w:hAnsi="黑体" w:eastAsia="黑体" w:cs="黑体"/>
          <w:i w:val="0"/>
          <w:iCs w:val="0"/>
          <w:color w:val="000000" w:themeColor="text1"/>
          <w:kern w:val="2"/>
          <w:sz w:val="21"/>
          <w:szCs w:val="21"/>
          <w:u w:val="none"/>
          <w:shd w:val="clear"/>
          <w:lang w:val="en-US" w:eastAsia="zh-CN" w:bidi="ar-SA"/>
          <w14:textFill>
            <w14:solidFill>
              <w14:schemeClr w14:val="tx1"/>
            </w14:solidFill>
          </w14:textFill>
        </w:rPr>
        <w:tab/>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自动控制阶段裁判计分完成，裁判员发出“转移机器人”的指令：</w:t>
      </w:r>
    </w:p>
    <w:p>
      <w:pPr>
        <w:pStyle w:val="7"/>
        <w:keepNext w:val="0"/>
        <w:keepLines w:val="0"/>
        <w:widowControl w:val="0"/>
        <w:numPr>
          <w:ilvl w:val="0"/>
          <w:numId w:val="8"/>
        </w:numPr>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站位调整：选手需按照“</w:t>
      </w:r>
      <w:r>
        <w:rPr>
          <w:rFonts w:hint="eastAsia" w:ascii="仿宋" w:hAnsi="仿宋" w:eastAsia="仿宋" w:cs="仿宋"/>
          <w:b/>
          <w:bCs/>
          <w:i w:val="0"/>
          <w:iCs w:val="0"/>
          <w:color w:val="000000" w:themeColor="text1"/>
          <w:kern w:val="0"/>
          <w:sz w:val="22"/>
          <w:szCs w:val="22"/>
          <w:lang w:val="en-US" w:eastAsia="zh-CN" w:bidi="ar-SA"/>
          <w14:textFill>
            <w14:solidFill>
              <w14:schemeClr w14:val="tx1"/>
            </w14:solidFill>
          </w14:textFill>
        </w:rPr>
        <w:t>6.3操作规则</w:t>
      </w: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”中的站位要求进行站位。</w:t>
      </w:r>
    </w:p>
    <w:p>
      <w:pPr>
        <w:pStyle w:val="7"/>
        <w:keepNext w:val="0"/>
        <w:keepLines w:val="0"/>
        <w:widowControl w:val="0"/>
        <w:numPr>
          <w:ilvl w:val="0"/>
          <w:numId w:val="8"/>
        </w:numPr>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机器人位置转移：红蓝双方需将自动任务区的机器人转移至手动任务区的启动区内（仅允许进行机器人放置）；</w:t>
      </w:r>
    </w:p>
    <w:p>
      <w:pPr>
        <w:pStyle w:val="7"/>
        <w:keepNext w:val="0"/>
        <w:keepLines w:val="0"/>
        <w:widowControl w:val="0"/>
        <w:numPr>
          <w:ilvl w:val="-1"/>
          <w:numId w:val="0"/>
        </w:numPr>
        <w:shd w:val="clear" w:color="auto" w:fill="auto"/>
        <w:bidi w:val="0"/>
        <w:spacing w:before="0" w:after="0" w:line="413" w:lineRule="exact"/>
        <w:ind w:left="0" w:right="0" w:firstLine="660" w:firstLineChars="300"/>
        <w:jc w:val="left"/>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机器人放置完毕后，裁判将发出“手动控制阶段开始”的指令，手动控制阶段开始，选手开始手动阶段的任务：</w:t>
      </w:r>
    </w:p>
    <w:p>
      <w:pPr>
        <w:pStyle w:val="7"/>
        <w:keepNext w:val="0"/>
        <w:keepLines w:val="0"/>
        <w:widowControl w:val="0"/>
        <w:numPr>
          <w:ilvl w:val="0"/>
          <w:numId w:val="8"/>
        </w:numPr>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highlight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highlight w:val="none"/>
          <w:lang w:val="en-US" w:eastAsia="zh-CN" w:bidi="ar-SA"/>
          <w14:textFill>
            <w14:solidFill>
              <w14:schemeClr w14:val="tx1"/>
            </w14:solidFill>
          </w14:textFill>
        </w:rPr>
        <w:t>手动控制阶段时，选手进行观察手和操作手的任务分工，并站在指定站位区完成相关任务，具体站位要求请参考“</w:t>
      </w:r>
      <w:r>
        <w:rPr>
          <w:rFonts w:hint="eastAsia" w:ascii="仿宋" w:hAnsi="仿宋" w:eastAsia="仿宋" w:cs="仿宋"/>
          <w:b/>
          <w:bCs/>
          <w:i w:val="0"/>
          <w:iCs w:val="0"/>
          <w:color w:val="000000" w:themeColor="text1"/>
          <w:kern w:val="0"/>
          <w:sz w:val="22"/>
          <w:szCs w:val="22"/>
          <w:highlight w:val="none"/>
          <w:lang w:val="en-US" w:eastAsia="zh-CN" w:bidi="ar-SA"/>
          <w14:textFill>
            <w14:solidFill>
              <w14:schemeClr w14:val="tx1"/>
            </w14:solidFill>
          </w14:textFill>
        </w:rPr>
        <w:t>6.3操作规则</w:t>
      </w:r>
      <w:r>
        <w:rPr>
          <w:rFonts w:hint="eastAsia" w:ascii="仿宋" w:hAnsi="仿宋" w:eastAsia="仿宋" w:cs="仿宋"/>
          <w:i w:val="0"/>
          <w:iCs w:val="0"/>
          <w:color w:val="000000" w:themeColor="text1"/>
          <w:kern w:val="0"/>
          <w:sz w:val="22"/>
          <w:szCs w:val="22"/>
          <w:highlight w:val="none"/>
          <w:lang w:val="en-US" w:eastAsia="zh-CN" w:bidi="ar-SA"/>
          <w14:textFill>
            <w14:solidFill>
              <w14:schemeClr w14:val="tx1"/>
            </w14:solidFill>
          </w14:textFill>
        </w:rPr>
        <w:t>”中关于参赛选手错误站位。在手动控制阶段，观察手和操作手可以向裁判申请换位，具体换位要求请参考“</w:t>
      </w:r>
      <w:r>
        <w:rPr>
          <w:rFonts w:hint="eastAsia" w:ascii="仿宋" w:hAnsi="仿宋" w:eastAsia="仿宋" w:cs="仿宋"/>
          <w:b/>
          <w:bCs/>
          <w:i w:val="0"/>
          <w:iCs w:val="0"/>
          <w:color w:val="000000" w:themeColor="text1"/>
          <w:kern w:val="0"/>
          <w:sz w:val="22"/>
          <w:szCs w:val="22"/>
          <w:highlight w:val="none"/>
          <w:lang w:val="en-US" w:eastAsia="zh-CN" w:bidi="ar-SA"/>
          <w14:textFill>
            <w14:solidFill>
              <w14:schemeClr w14:val="tx1"/>
            </w14:solidFill>
          </w14:textFill>
        </w:rPr>
        <w:t>6.3操作规则</w:t>
      </w:r>
      <w:r>
        <w:rPr>
          <w:rFonts w:hint="eastAsia" w:ascii="仿宋" w:hAnsi="仿宋" w:eastAsia="仿宋" w:cs="仿宋"/>
          <w:i w:val="0"/>
          <w:iCs w:val="0"/>
          <w:color w:val="000000" w:themeColor="text1"/>
          <w:kern w:val="0"/>
          <w:sz w:val="22"/>
          <w:szCs w:val="22"/>
          <w:highlight w:val="none"/>
          <w:lang w:val="en-US" w:eastAsia="zh-CN" w:bidi="ar-SA"/>
          <w14:textFill>
            <w14:solidFill>
              <w14:schemeClr w14:val="tx1"/>
            </w14:solidFill>
          </w14:textFill>
        </w:rPr>
        <w:t>”中关于参赛选手错误换位。</w:t>
      </w:r>
    </w:p>
    <w:p>
      <w:pPr>
        <w:pStyle w:val="7"/>
        <w:keepNext w:val="0"/>
        <w:keepLines w:val="0"/>
        <w:widowControl w:val="0"/>
        <w:numPr>
          <w:ilvl w:val="0"/>
          <w:numId w:val="8"/>
        </w:numPr>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若队伍在4分钟比赛时间未结束前，向裁判申请结束比赛，裁判许可后发出“比赛结束”指令并停止计时，则比赛提前结束；或在4分钟的比赛时间用完时，裁判将主动发出“比赛结束”指令，比赛结束。</w:t>
      </w:r>
    </w:p>
    <w:p>
      <w:pPr>
        <w:pStyle w:val="7"/>
        <w:keepNext w:val="0"/>
        <w:keepLines w:val="0"/>
        <w:widowControl w:val="0"/>
        <w:numPr>
          <w:ilvl w:val="-1"/>
          <w:numId w:val="0"/>
        </w:numPr>
        <w:shd w:val="clear" w:color="auto" w:fill="auto"/>
        <w:bidi w:val="0"/>
        <w:spacing w:before="0" w:after="0" w:line="413" w:lineRule="exact"/>
        <w:ind w:left="0" w:right="0" w:firstLine="660" w:firstLineChars="30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比赛全程参赛队员可依照比赛规范对机器人进行维修、改装，在此期间比赛时间不停止。除安全问题外，选手不得向裁判申请暂停比赛。</w:t>
      </w:r>
    </w:p>
    <w:p>
      <w:pPr>
        <w:pStyle w:val="7"/>
        <w:keepNext w:val="0"/>
        <w:keepLines w:val="0"/>
        <w:widowControl w:val="0"/>
        <w:numPr>
          <w:ilvl w:val="0"/>
          <w:numId w:val="0"/>
        </w:numPr>
        <w:shd w:val="clear" w:color="auto" w:fill="auto"/>
        <w:bidi w:val="0"/>
        <w:spacing w:before="0" w:after="0" w:line="413" w:lineRule="exact"/>
        <w:ind w:left="480" w:leftChars="0" w:right="0" w:rightChars="0"/>
        <w:jc w:val="left"/>
        <w:rPr>
          <w:rFonts w:hint="default"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r>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t xml:space="preserve">4.7.5 </w:t>
      </w:r>
      <w:r>
        <w:rPr>
          <w:rFonts w:hint="default"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t>裁判计分及选手签字确认</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比赛结束后，裁判会进行得分统计。如对比赛无异议，队伍队长必须在成绩单上签字确认比赛结果。若对比赛结果产生异议，参赛战队无需签字，应在未签字确认成绩的前提下，立刻向当值裁判提出异议，积极沟通。</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签字确认后，参赛队员应主动协助裁判复原场地道具，并携带机器人和蓝牙手柄有序离场。</w:t>
      </w:r>
    </w:p>
    <w:p>
      <w:pPr>
        <w:pStyle w:val="7"/>
        <w:keepNext w:val="0"/>
        <w:keepLines w:val="0"/>
        <w:widowControl w:val="0"/>
        <w:shd w:val="clear" w:color="auto" w:fill="auto"/>
        <w:bidi w:val="0"/>
        <w:spacing w:before="0" w:after="0" w:line="413" w:lineRule="exact"/>
        <w:ind w:right="0"/>
        <w:jc w:val="left"/>
        <w:rPr>
          <w:rFonts w:hint="default" w:ascii="黑体" w:hAnsi="黑体" w:eastAsia="黑体" w:cs="黑体"/>
          <w:i w:val="0"/>
          <w:iCs w:val="0"/>
          <w:color w:val="000000" w:themeColor="text1"/>
          <w:kern w:val="2"/>
          <w:sz w:val="21"/>
          <w:szCs w:val="21"/>
          <w:u w:val="none"/>
          <w:shd w:val="clear"/>
          <w:lang w:val="en-US" w:eastAsia="zh-CN" w:bidi="ar-SA"/>
          <w14:textFill>
            <w14:solidFill>
              <w14:schemeClr w14:val="tx1"/>
            </w14:solidFill>
          </w14:textFill>
        </w:rPr>
      </w:pP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黑体" w:hAnsi="黑体" w:eastAsia="黑体" w:cs="黑体"/>
          <w:b/>
          <w:bCs/>
          <w:color w:val="000000" w:themeColor="text1"/>
          <w:sz w:val="28"/>
          <w:szCs w:val="28"/>
          <w:lang w:val="en-US" w:eastAsia="zh-CN"/>
          <w14:textFill>
            <w14:solidFill>
              <w14:schemeClr w14:val="tx1"/>
            </w14:solidFill>
          </w14:textFill>
        </w:rPr>
      </w:pPr>
      <w:r>
        <w:rPr>
          <w:rFonts w:hint="eastAsia" w:ascii="黑体" w:hAnsi="黑体" w:eastAsia="黑体" w:cs="黑体"/>
          <w:b/>
          <w:bCs/>
          <w:color w:val="000000" w:themeColor="text1"/>
          <w:sz w:val="28"/>
          <w:szCs w:val="28"/>
          <w:lang w:val="en-US" w:eastAsia="zh-CN"/>
          <w14:textFill>
            <w14:solidFill>
              <w14:schemeClr w14:val="tx1"/>
            </w14:solidFill>
          </w14:textFill>
        </w:rPr>
        <w:t>技术规范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黑体" w:hAnsi="黑体" w:eastAsia="黑体" w:cs="黑体"/>
          <w:b/>
          <w:bCs/>
          <w:color w:val="000000" w:themeColor="text1"/>
          <w:sz w:val="24"/>
          <w:szCs w:val="24"/>
          <w:lang w:val="en-US" w:eastAsia="zh-CN"/>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5.1机器人制作规范</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机器人制作规范是指导各参赛队伍更好的参赛备赛、公平公正且安全的竞赛标准规范。鼓励各参赛队伍在充分阅读、理解该规范的前提下进行机器人的编程搭建。所有参赛战队的机器人必须严格遵守该制作规范，凡违背该规范要求的机器人将被要求整改，情节严重者将被判罚取消比赛成绩或取消比赛资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eastAsia" w:ascii="黑体" w:hAnsi="黑体" w:eastAsia="黑体" w:cs="黑体"/>
          <w:b/>
          <w:bCs/>
          <w:i w:val="0"/>
          <w:iCs w:val="0"/>
          <w:color w:val="000000" w:themeColor="text1"/>
          <w:kern w:val="2"/>
          <w:sz w:val="21"/>
          <w:szCs w:val="21"/>
          <w:u w:val="none"/>
          <w:shd w:val="clear" w:color="auto" w:fill="auto"/>
          <w:lang w:val="en-US" w:eastAsia="zh-CN" w:bidi="ar-SA"/>
          <w14:textFill>
            <w14:solidFill>
              <w14:schemeClr w14:val="tx1"/>
            </w14:solidFill>
          </w14:textFill>
        </w:rPr>
      </w:pPr>
      <w:r>
        <w:rPr>
          <w:rFonts w:hint="default" w:ascii="黑体" w:hAnsi="黑体" w:eastAsia="黑体" w:cs="黑体"/>
          <w:b/>
          <w:bCs/>
          <w:i w:val="0"/>
          <w:iCs w:val="0"/>
          <w:color w:val="000000" w:themeColor="text1"/>
          <w:kern w:val="2"/>
          <w:sz w:val="21"/>
          <w:szCs w:val="21"/>
          <w:u w:val="none"/>
          <w:shd w:val="clear" w:color="auto" w:fill="auto"/>
          <w:lang w:val="en-US" w:eastAsia="zh-CN" w:bidi="ar-SA"/>
          <w14:textFill>
            <w14:solidFill>
              <w14:schemeClr w14:val="tx1"/>
            </w14:solidFill>
          </w14:textFill>
        </w:rPr>
        <w:t>机器人机械规范</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TO1 每支参赛战队仅可使用同一台机器人进行赛前检录（</w:t>
      </w:r>
      <w:r>
        <w:rPr>
          <w:rFonts w:hint="eastAsia" w:ascii="仿宋" w:hAnsi="仿宋" w:eastAsia="仿宋" w:cs="仿宋"/>
          <w:i w:val="0"/>
          <w:iCs w:val="0"/>
          <w:color w:val="000000" w:themeColor="text1"/>
          <w:kern w:val="0"/>
          <w:sz w:val="22"/>
          <w:szCs w:val="22"/>
          <w:highlight w:val="none"/>
          <w:lang w:val="en-US" w:eastAsia="zh-CN" w:bidi="ar-SA"/>
          <w14:textFill>
            <w14:solidFill>
              <w14:schemeClr w14:val="tx1"/>
            </w14:solidFill>
          </w14:textFill>
        </w:rPr>
        <w:t>每支战队由3人组成，共使用两台机器人参赛</w:t>
      </w: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），检录通过后，该战队仅可使用通过检录的机器人进行比赛，严禁战队更换机器人，严禁战队使用未通过检录的机器人。</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T02 整场比赛过程中，主控、底盘、车轮、履带不可更换，其余零件可以更换。</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T03 整场比赛过程中，机器人的长、宽不得超过280mm,高度不得超过 300mm。 机器人使用车轮（包括橡胶胎皮）直径不得超过70mm。</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a.机器人尺寸以最大伸展尺寸为准，检录时需展开所有活动结构(含改装后状态)至最大尺寸状态。</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b.机器人完全展开后，任意部分不得超出长280mm*宽280mm*高300mm的立方体。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黑体" w:hAnsi="黑体" w:eastAsia="黑体" w:cs="黑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color w:val="000000" w:themeColor="text1"/>
          <w14:textFill>
            <w14:solidFill>
              <w14:schemeClr w14:val="tx1"/>
            </w14:solidFill>
          </w14:textFill>
        </w:rPr>
      </w:pPr>
      <w:r>
        <w:rPr>
          <w:bCs/>
          <w:color w:val="000000" w:themeColor="text1"/>
          <w14:textFill>
            <w14:solidFill>
              <w14:schemeClr w14:val="tx1"/>
            </w14:solidFill>
          </w14:textFill>
        </w:rPr>
        <w:drawing>
          <wp:anchor distT="0" distB="0" distL="114300" distR="114300" simplePos="0" relativeHeight="251663360" behindDoc="0" locked="0" layoutInCell="1" allowOverlap="1">
            <wp:simplePos x="0" y="0"/>
            <wp:positionH relativeFrom="margin">
              <wp:posOffset>1435100</wp:posOffset>
            </wp:positionH>
            <wp:positionV relativeFrom="paragraph">
              <wp:posOffset>64770</wp:posOffset>
            </wp:positionV>
            <wp:extent cx="3162300" cy="2656840"/>
            <wp:effectExtent l="0" t="0" r="7620" b="1016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62300" cy="2656840"/>
                    </a:xfrm>
                    <a:prstGeom prst="rect">
                      <a:avLst/>
                    </a:prstGeom>
                  </pic:spPr>
                </pic:pic>
              </a:graphicData>
            </a:graphic>
          </wp:anchor>
        </w:drawing>
      </w:r>
    </w:p>
    <w:p>
      <w:pPr>
        <w:pStyle w:val="7"/>
        <w:keepNext w:val="0"/>
        <w:keepLines w:val="0"/>
        <w:widowControl w:val="0"/>
        <w:shd w:val="clear" w:color="auto" w:fill="auto"/>
        <w:bidi w:val="0"/>
        <w:spacing w:before="0" w:after="0" w:line="413" w:lineRule="exact"/>
        <w:ind w:right="0"/>
        <w:jc w:val="center"/>
        <w:rPr>
          <w:rFonts w:hint="eastAsia" w:ascii="黑体" w:hAnsi="黑体" w:eastAsia="黑体" w:cs="黑体"/>
          <w:i w:val="0"/>
          <w:iCs w:val="0"/>
          <w:color w:val="000000" w:themeColor="text1"/>
          <w:kern w:val="2"/>
          <w:sz w:val="21"/>
          <w:szCs w:val="21"/>
          <w:u w:val="none"/>
          <w:shd w:val="clear"/>
          <w:lang w:val="en-US" w:eastAsia="zh-CN" w:bidi="ar-SA"/>
          <w14:textFill>
            <w14:solidFill>
              <w14:schemeClr w14:val="tx1"/>
            </w14:solidFill>
          </w14:textFill>
        </w:rPr>
      </w:pPr>
      <w: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t>最大延伸尺寸-俯视图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color w:val="000000" w:themeColor="text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center"/>
        <w:textAlignment w:val="auto"/>
        <w:rPr>
          <w:color w:val="000000" w:themeColor="text1"/>
          <w14:textFill>
            <w14:solidFill>
              <w14:schemeClr w14:val="tx1"/>
            </w14:solidFill>
          </w14:textFill>
        </w:rPr>
      </w:pPr>
      <w:r>
        <w:rPr>
          <w:rFonts w:hint="eastAsia"/>
          <w:b/>
          <w:color w:val="000000" w:themeColor="text1"/>
          <w14:textFill>
            <w14:solidFill>
              <w14:schemeClr w14:val="tx1"/>
            </w14:solidFill>
          </w14:textFill>
        </w:rPr>
        <w:drawing>
          <wp:anchor distT="0" distB="0" distL="114300" distR="114300" simplePos="0" relativeHeight="251664384" behindDoc="0" locked="0" layoutInCell="1" allowOverlap="1">
            <wp:simplePos x="0" y="0"/>
            <wp:positionH relativeFrom="margin">
              <wp:posOffset>994410</wp:posOffset>
            </wp:positionH>
            <wp:positionV relativeFrom="paragraph">
              <wp:posOffset>542925</wp:posOffset>
            </wp:positionV>
            <wp:extent cx="3762375" cy="2039620"/>
            <wp:effectExtent l="0" t="0" r="1905"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62375" cy="2039620"/>
                    </a:xfrm>
                    <a:prstGeom prst="rect">
                      <a:avLst/>
                    </a:prstGeom>
                  </pic:spPr>
                </pic:pic>
              </a:graphicData>
            </a:graphic>
          </wp:anchor>
        </w:drawing>
      </w:r>
    </w:p>
    <w:p>
      <w:pPr>
        <w:pStyle w:val="7"/>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t>最大延伸尺寸-侧视图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Theme="minorEastAsia"/>
          <w:color w:val="000000" w:themeColor="text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Theme="minorEastAsia"/>
          <w:color w:val="000000" w:themeColor="text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Theme="minorEastAsia"/>
          <w:color w:val="000000" w:themeColor="text1"/>
          <w:lang w:val="en-US" w:eastAsia="zh-CN"/>
          <w14:textFill>
            <w14:solidFill>
              <w14:schemeClr w14:val="tx1"/>
            </w14:solidFill>
          </w14:textFill>
        </w:rPr>
      </w:pPr>
      <w:r>
        <w:rPr>
          <w:bCs/>
          <w:color w:val="000000" w:themeColor="text1"/>
          <w14:textFill>
            <w14:solidFill>
              <w14:schemeClr w14:val="tx1"/>
            </w14:solidFill>
          </w14:textFill>
        </w:rPr>
        <w:drawing>
          <wp:anchor distT="0" distB="0" distL="114300" distR="114300" simplePos="0" relativeHeight="251660288" behindDoc="0" locked="0" layoutInCell="1" allowOverlap="1">
            <wp:simplePos x="0" y="0"/>
            <wp:positionH relativeFrom="margin">
              <wp:posOffset>2100580</wp:posOffset>
            </wp:positionH>
            <wp:positionV relativeFrom="paragraph">
              <wp:posOffset>-63500</wp:posOffset>
            </wp:positionV>
            <wp:extent cx="2160270" cy="1943100"/>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160270" cy="194310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Theme="minorEastAsia"/>
          <w:color w:val="000000" w:themeColor="text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Theme="minorEastAsia"/>
          <w:color w:val="000000" w:themeColor="text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Theme="minorEastAsia"/>
          <w:color w:val="000000" w:themeColor="text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Theme="minorEastAsia"/>
          <w:color w:val="000000" w:themeColor="text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Theme="minorEastAsia"/>
          <w:color w:val="000000" w:themeColor="text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Theme="minorEastAsia"/>
          <w:color w:val="000000" w:themeColor="text1"/>
          <w:lang w:val="en-US" w:eastAsia="zh-CN"/>
          <w14:textFill>
            <w14:solidFill>
              <w14:schemeClr w14:val="tx1"/>
            </w14:solidFill>
          </w14:textFill>
        </w:rPr>
      </w:pP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jc w:val="center"/>
        <w:textAlignment w:val="auto"/>
        <w:rPr>
          <w:rFonts w:hint="eastAsia" w:ascii="仿宋" w:hAnsi="仿宋" w:eastAsia="仿宋" w:cs="仿宋"/>
          <w:i w:val="0"/>
          <w:iCs w:val="0"/>
          <w:color w:val="000000" w:themeColor="text1"/>
          <w:sz w:val="21"/>
          <w:szCs w:val="21"/>
          <w:lang w:val="en-US" w:eastAsia="zh-CN" w:bidi="ar-SA"/>
          <w14:textFill>
            <w14:solidFill>
              <w14:schemeClr w14:val="tx1"/>
            </w14:solidFill>
          </w14:textFill>
        </w:rPr>
      </w:pPr>
      <w:r>
        <w:rPr>
          <w:rFonts w:hint="eastAsia" w:ascii="仿宋" w:hAnsi="仿宋" w:eastAsia="仿宋" w:cs="仿宋"/>
          <w:i w:val="0"/>
          <w:iCs w:val="0"/>
          <w:color w:val="000000" w:themeColor="text1"/>
          <w:sz w:val="21"/>
          <w:szCs w:val="21"/>
          <w:lang w:val="en-US" w:eastAsia="zh-CN" w:bidi="ar-SA"/>
          <w14:textFill>
            <w14:solidFill>
              <w14:schemeClr w14:val="tx1"/>
            </w14:solidFill>
          </w14:textFill>
        </w:rPr>
        <w:t>车轮尺寸示意图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Theme="minorEastAsia"/>
          <w:color w:val="000000" w:themeColor="text1"/>
          <w:lang w:val="en-US" w:eastAsia="zh-CN"/>
          <w14:textFill>
            <w14:solidFill>
              <w14:schemeClr w14:val="tx1"/>
            </w14:solidFill>
          </w14:textFill>
        </w:rPr>
      </w:pP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T04 在整个比赛过程中，机器人任意时刻最大净重量不超过2.5kg,包含电池以及所有改装结构件重量，不包含战队标记物重量。</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T05 参赛战队可自行制作机械零件，可以使用3D打印，激光切割等零件，不允许使用高集成度的完整商业产品，包括但不限于多自由度机械臂或机械手等。</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firstLine="422" w:firstLineChars="200"/>
        <w:jc w:val="both"/>
        <w:textAlignment w:val="auto"/>
        <w:rPr>
          <w:rFonts w:hint="default" w:ascii="黑体" w:hAnsi="黑体" w:eastAsia="黑体" w:cs="黑体"/>
          <w:b/>
          <w:bCs/>
          <w:i w:val="0"/>
          <w:iCs w:val="0"/>
          <w:color w:val="000000" w:themeColor="text1"/>
          <w:kern w:val="2"/>
          <w:sz w:val="21"/>
          <w:szCs w:val="21"/>
          <w:u w:val="none"/>
          <w:shd w:val="clear" w:color="auto" w:fill="auto"/>
          <w:lang w:val="en-US" w:eastAsia="zh-CN" w:bidi="ar-SA"/>
          <w14:textFill>
            <w14:solidFill>
              <w14:schemeClr w14:val="tx1"/>
            </w14:solidFill>
          </w14:textFill>
        </w:rPr>
      </w:pPr>
      <w:r>
        <w:rPr>
          <w:rFonts w:hint="default" w:ascii="黑体" w:hAnsi="黑体" w:eastAsia="黑体" w:cs="黑体"/>
          <w:b/>
          <w:bCs/>
          <w:i w:val="0"/>
          <w:iCs w:val="0"/>
          <w:color w:val="000000" w:themeColor="text1"/>
          <w:kern w:val="2"/>
          <w:sz w:val="21"/>
          <w:szCs w:val="21"/>
          <w:u w:val="none"/>
          <w:shd w:val="clear" w:color="auto" w:fill="auto"/>
          <w:lang w:val="en-US" w:eastAsia="zh-CN" w:bidi="ar-SA"/>
          <w14:textFill>
            <w14:solidFill>
              <w14:schemeClr w14:val="tx1"/>
            </w14:solidFill>
          </w14:textFill>
        </w:rPr>
        <w:t>机器人电子技术规范</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T06 为确保比赛的公平性，防止战队使用部分高性能设备破坏比赛公平性，战队使用的器材性能不得超过以下指标：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黑体" w:hAnsi="黑体" w:eastAsia="黑体" w:cs="黑体"/>
          <w:color w:val="000000" w:themeColor="text1"/>
          <w:sz w:val="21"/>
          <w:szCs w:val="21"/>
          <w:lang w:val="en-US" w:eastAsia="zh-CN"/>
          <w14:textFill>
            <w14:solidFill>
              <w14:schemeClr w14:val="tx1"/>
            </w14:solidFill>
          </w14:textFill>
        </w:rPr>
      </w:pPr>
    </w:p>
    <w:tbl>
      <w:tblPr>
        <w:tblStyle w:val="5"/>
        <w:tblW w:w="90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48"/>
        <w:gridCol w:w="1756"/>
        <w:gridCol w:w="3510"/>
        <w:gridCol w:w="23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bCs/>
                <w:i w:val="0"/>
                <w:iCs w:val="0"/>
                <w:color w:val="000000" w:themeColor="text1"/>
                <w:sz w:val="21"/>
                <w:szCs w:val="21"/>
                <w:u w:val="none"/>
                <w14:textFill>
                  <w14:solidFill>
                    <w14:schemeClr w14:val="tx1"/>
                  </w14:solidFill>
                </w14:textFill>
              </w:rPr>
            </w:pPr>
            <w:r>
              <w:rPr>
                <w:rFonts w:hint="eastAsia" w:ascii="黑体" w:hAnsi="黑体" w:eastAsia="黑体" w:cs="黑体"/>
                <w:b/>
                <w:bCs/>
                <w:i w:val="0"/>
                <w:iCs w:val="0"/>
                <w:color w:val="000000" w:themeColor="text1"/>
                <w:kern w:val="0"/>
                <w:sz w:val="21"/>
                <w:szCs w:val="21"/>
                <w:u w:val="none"/>
                <w:lang w:val="en-US" w:eastAsia="zh-CN" w:bidi="ar"/>
                <w14:textFill>
                  <w14:solidFill>
                    <w14:schemeClr w14:val="tx1"/>
                  </w14:solidFill>
                </w14:textFill>
              </w:rPr>
              <w:t>设备类型</w:t>
            </w:r>
          </w:p>
        </w:tc>
        <w:tc>
          <w:tcPr>
            <w:tcW w:w="1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bCs/>
                <w:i w:val="0"/>
                <w:iCs w:val="0"/>
                <w:color w:val="000000" w:themeColor="text1"/>
                <w:sz w:val="21"/>
                <w:szCs w:val="21"/>
                <w:u w:val="none"/>
                <w14:textFill>
                  <w14:solidFill>
                    <w14:schemeClr w14:val="tx1"/>
                  </w14:solidFill>
                </w14:textFill>
              </w:rPr>
            </w:pPr>
            <w:r>
              <w:rPr>
                <w:rFonts w:hint="eastAsia" w:ascii="黑体" w:hAnsi="黑体" w:eastAsia="黑体" w:cs="黑体"/>
                <w:b/>
                <w:bCs/>
                <w:i w:val="0"/>
                <w:iCs w:val="0"/>
                <w:color w:val="000000" w:themeColor="text1"/>
                <w:kern w:val="0"/>
                <w:sz w:val="21"/>
                <w:szCs w:val="21"/>
                <w:u w:val="none"/>
                <w:lang w:val="en-US" w:eastAsia="zh-CN" w:bidi="ar"/>
                <w14:textFill>
                  <w14:solidFill>
                    <w14:schemeClr w14:val="tx1"/>
                  </w14:solidFill>
                </w14:textFill>
              </w:rPr>
              <w:t>部件名称</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bCs/>
                <w:i w:val="0"/>
                <w:iCs w:val="0"/>
                <w:color w:val="000000" w:themeColor="text1"/>
                <w:sz w:val="21"/>
                <w:szCs w:val="21"/>
                <w:u w:val="none"/>
                <w14:textFill>
                  <w14:solidFill>
                    <w14:schemeClr w14:val="tx1"/>
                  </w14:solidFill>
                </w14:textFill>
              </w:rPr>
            </w:pPr>
            <w:r>
              <w:rPr>
                <w:rFonts w:hint="eastAsia" w:ascii="黑体" w:hAnsi="黑体" w:eastAsia="黑体" w:cs="黑体"/>
                <w:b/>
                <w:bCs/>
                <w:i w:val="0"/>
                <w:iCs w:val="0"/>
                <w:color w:val="000000" w:themeColor="text1"/>
                <w:kern w:val="0"/>
                <w:sz w:val="21"/>
                <w:szCs w:val="21"/>
                <w:u w:val="none"/>
                <w:lang w:val="en-US" w:eastAsia="zh-CN" w:bidi="ar"/>
                <w14:textFill>
                  <w14:solidFill>
                    <w14:schemeClr w14:val="tx1"/>
                  </w14:solidFill>
                </w14:textFill>
              </w:rPr>
              <w:t>规格</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bCs/>
                <w:i w:val="0"/>
                <w:iCs w:val="0"/>
                <w:color w:val="000000" w:themeColor="text1"/>
                <w:sz w:val="21"/>
                <w:szCs w:val="21"/>
                <w:u w:val="none"/>
                <w14:textFill>
                  <w14:solidFill>
                    <w14:schemeClr w14:val="tx1"/>
                  </w14:solidFill>
                </w14:textFill>
              </w:rPr>
            </w:pPr>
            <w:r>
              <w:rPr>
                <w:rFonts w:hint="eastAsia" w:ascii="黑体" w:hAnsi="黑体" w:eastAsia="黑体" w:cs="黑体"/>
                <w:b/>
                <w:bCs/>
                <w:i w:val="0"/>
                <w:iCs w:val="0"/>
                <w:color w:val="000000" w:themeColor="text1"/>
                <w:kern w:val="0"/>
                <w:sz w:val="21"/>
                <w:szCs w:val="21"/>
                <w:u w:val="none"/>
                <w:lang w:val="en-US" w:eastAsia="zh-CN" w:bidi="ar"/>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0" w:hRule="atLeast"/>
        </w:trPr>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主控&amp;扩展板</w:t>
            </w:r>
          </w:p>
        </w:tc>
        <w:tc>
          <w:tcPr>
            <w:tcW w:w="1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ESP32-WROVER-B</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处理器：Xtensa@32-bit LX6双核处理器</w:t>
            </w:r>
          </w:p>
          <w:p>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通讯模式:</w:t>
            </w:r>
          </w:p>
          <w:p>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串口通信：主控板对扩展板</w:t>
            </w:r>
          </w:p>
          <w:p>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数字信号：数字舵机接口</w:t>
            </w:r>
          </w:p>
          <w:p>
            <w:pPr>
              <w:keepNext w:val="0"/>
              <w:keepLines w:val="0"/>
              <w:widowControl/>
              <w:suppressLineNumbers w:val="0"/>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PWM：直流电机接口</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每台机器只允许使用一个主控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0" w:hRule="atLeast"/>
        </w:trPr>
        <w:tc>
          <w:tcPr>
            <w:tcW w:w="14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传感器系统</w:t>
            </w:r>
          </w:p>
        </w:tc>
        <w:tc>
          <w:tcPr>
            <w:tcW w:w="1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视觉传感器</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视场角：65.0度</w:t>
            </w:r>
          </w:p>
          <w:p>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有效焦距∶4.65±5%mm</w:t>
            </w:r>
          </w:p>
          <w:p>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识别速度∶60 帧/s</w:t>
            </w:r>
          </w:p>
          <w:p>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识别距离∶0.25-1.2m 范围最佳</w:t>
            </w:r>
          </w:p>
          <w:p>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供电方式∶3.7V锂电池或5V mBuild 电源模块</w:t>
            </w:r>
          </w:p>
          <w:p>
            <w:pPr>
              <w:keepNext w:val="0"/>
              <w:keepLines w:val="0"/>
              <w:widowControl/>
              <w:suppressLineNumbers w:val="0"/>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功耗范围∶0.9-1.3W</w:t>
            </w:r>
          </w:p>
        </w:tc>
        <w:tc>
          <w:tcPr>
            <w:tcW w:w="23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类型和数量不限</w:t>
            </w:r>
          </w:p>
          <w:p>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Style w:val="17"/>
                <w:rFonts w:hint="eastAsia" w:ascii="仿宋" w:hAnsi="仿宋" w:eastAsia="仿宋" w:cs="仿宋"/>
                <w:color w:val="000000" w:themeColor="text1"/>
                <w:sz w:val="21"/>
                <w:szCs w:val="21"/>
                <w:lang w:val="en-US" w:eastAsia="zh-CN" w:bidi="ar"/>
                <w14:textFill>
                  <w14:solidFill>
                    <w14:schemeClr w14:val="tx1"/>
                  </w14:solidFill>
                </w14:textFill>
              </w:rPr>
              <w:t>机器人禁止使用任何可干扰到其它机器人感知能力的传感器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1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1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超声波传感器</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工作电压∶DC 5V</w:t>
            </w:r>
          </w:p>
          <w:p>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读值范围∶5-300cm</w:t>
            </w:r>
          </w:p>
          <w:p>
            <w:pPr>
              <w:keepNext w:val="0"/>
              <w:keepLines w:val="0"/>
              <w:widowControl/>
              <w:suppressLineNumbers w:val="0"/>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读值误差∶±5%</w:t>
            </w:r>
          </w:p>
        </w:tc>
        <w:tc>
          <w:tcPr>
            <w:tcW w:w="23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1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巡线传感器</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工作电压∶DC 5V</w:t>
            </w:r>
          </w:p>
          <w:p>
            <w:pPr>
              <w:keepNext w:val="0"/>
              <w:keepLines w:val="0"/>
              <w:widowControl/>
              <w:suppressLineNumbers w:val="0"/>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检测高度∶5mm-15mm</w:t>
            </w:r>
          </w:p>
        </w:tc>
        <w:tc>
          <w:tcPr>
            <w:tcW w:w="23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14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电机&amp;舵机</w:t>
            </w:r>
          </w:p>
        </w:tc>
        <w:tc>
          <w:tcPr>
            <w:tcW w:w="1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编码电机</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180光电编码电机</w:t>
            </w:r>
          </w:p>
          <w:p>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额定电压：12V</w:t>
            </w:r>
          </w:p>
          <w:p>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空载转速：350RPM±5%</w:t>
            </w:r>
          </w:p>
          <w:p>
            <w:pPr>
              <w:keepNext w:val="0"/>
              <w:keepLines w:val="0"/>
              <w:widowControl/>
              <w:suppressLineNumbers w:val="0"/>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齿轮比：39：6</w:t>
            </w:r>
          </w:p>
        </w:tc>
        <w:tc>
          <w:tcPr>
            <w:tcW w:w="2344"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widowControl/>
              <w:suppressLineNumbers w:val="0"/>
              <w:jc w:val="left"/>
              <w:textAlignment w:val="top"/>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widowControl/>
              <w:suppressLineNumbers w:val="0"/>
              <w:jc w:val="left"/>
              <w:textAlignment w:val="top"/>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widowControl/>
              <w:suppressLineNumbers w:val="0"/>
              <w:jc w:val="left"/>
              <w:textAlignment w:val="top"/>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widowControl/>
              <w:suppressLineNumbers w:val="0"/>
              <w:jc w:val="left"/>
              <w:textAlignment w:val="top"/>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禁止更改任何电机或舵机内部的机械结构和电气布局</w:t>
            </w:r>
          </w:p>
          <w:p>
            <w:pPr>
              <w:keepNext w:val="0"/>
              <w:keepLines w:val="0"/>
              <w:widowControl/>
              <w:suppressLineNumbers w:val="0"/>
              <w:jc w:val="left"/>
              <w:textAlignment w:val="top"/>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总数量不超过6个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1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17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直流电机</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双轴TT马达</w:t>
            </w:r>
          </w:p>
          <w:p>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 xml:space="preserve">额定电压：DC 6V </w:t>
            </w:r>
          </w:p>
          <w:p>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无负载速度：200RPM±10%</w:t>
            </w:r>
          </w:p>
          <w:p>
            <w:pPr>
              <w:keepNext w:val="0"/>
              <w:keepLines w:val="0"/>
              <w:widowControl/>
              <w:suppressLineNumbers w:val="0"/>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齿轮比：1：48</w:t>
            </w:r>
          </w:p>
        </w:tc>
        <w:tc>
          <w:tcPr>
            <w:tcW w:w="234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仿宋" w:hAnsi="仿宋" w:eastAsia="仿宋" w:cs="仿宋"/>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1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1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高速TT电机</w:t>
            </w:r>
          </w:p>
          <w:p>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 xml:space="preserve">额定电压：DC 6V </w:t>
            </w:r>
          </w:p>
          <w:p>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无负载速度：312RPM±10%</w:t>
            </w:r>
          </w:p>
          <w:p>
            <w:pPr>
              <w:keepNext w:val="0"/>
              <w:keepLines w:val="0"/>
              <w:widowControl/>
              <w:suppressLineNumbers w:val="0"/>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齿轮比：1：48</w:t>
            </w:r>
          </w:p>
        </w:tc>
        <w:tc>
          <w:tcPr>
            <w:tcW w:w="234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仿宋" w:hAnsi="仿宋" w:eastAsia="仿宋" w:cs="仿宋"/>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1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1756"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舵机</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MS-1.5A 智能舵机</w:t>
            </w:r>
          </w:p>
          <w:p>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 xml:space="preserve">工作电压∶4.8-6V DC </w:t>
            </w:r>
          </w:p>
          <w:p>
            <w:pPr>
              <w:keepNext w:val="0"/>
              <w:keepLines w:val="0"/>
              <w:widowControl/>
              <w:suppressLineNumbers w:val="0"/>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扭矩∶1.5kg/cm</w:t>
            </w:r>
          </w:p>
        </w:tc>
        <w:tc>
          <w:tcPr>
            <w:tcW w:w="234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仿宋" w:hAnsi="仿宋" w:eastAsia="仿宋" w:cs="仿宋"/>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1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1756"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9g小舵机</w:t>
            </w:r>
          </w:p>
          <w:p>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 xml:space="preserve">工作电压∶4.8-6V DC </w:t>
            </w:r>
          </w:p>
          <w:p>
            <w:pPr>
              <w:keepNext w:val="0"/>
              <w:keepLines w:val="0"/>
              <w:widowControl/>
              <w:suppressLineNumbers w:val="0"/>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扭矩∶1.3到1.7kg/cm</w:t>
            </w:r>
          </w:p>
        </w:tc>
        <w:tc>
          <w:tcPr>
            <w:tcW w:w="234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仿宋" w:hAnsi="仿宋" w:eastAsia="仿宋" w:cs="仿宋"/>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trPr>
        <w:tc>
          <w:tcPr>
            <w:tcW w:w="14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无线通信</w:t>
            </w:r>
          </w:p>
        </w:tc>
        <w:tc>
          <w:tcPr>
            <w:tcW w:w="1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蓝牙手柄</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 xml:space="preserve">频带范围∶2402~2480MHz </w:t>
            </w:r>
          </w:p>
          <w:p>
            <w:pPr>
              <w:keepNext w:val="0"/>
              <w:keepLines w:val="0"/>
              <w:widowControl/>
              <w:suppressLineNumbers w:val="0"/>
              <w:jc w:val="both"/>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 xml:space="preserve">天线增益∶1.5dBi </w:t>
            </w:r>
          </w:p>
          <w:p>
            <w:pPr>
              <w:keepNext w:val="0"/>
              <w:keepLines w:val="0"/>
              <w:widowControl/>
              <w:suppressLineNumbers w:val="0"/>
              <w:jc w:val="both"/>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工作电流∶15mA</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trPr>
        <w:tc>
          <w:tcPr>
            <w:tcW w:w="1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1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蓝牙模块</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 xml:space="preserve">蓝牙版本∶BT4.0 </w:t>
            </w:r>
          </w:p>
          <w:p>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 xml:space="preserve">频带范围∶2402~2480MHz </w:t>
            </w:r>
          </w:p>
          <w:p>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 xml:space="preserve">天线增益∶1.5dBi </w:t>
            </w:r>
          </w:p>
          <w:p>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 xml:space="preserve">能耗等级∶≤4dBm </w:t>
            </w:r>
          </w:p>
          <w:p>
            <w:pPr>
              <w:keepNext w:val="0"/>
              <w:keepLines w:val="0"/>
              <w:widowControl/>
              <w:suppressLineNumbers w:val="0"/>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工作电流∶15mA</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禁止使用除蓝牙手柄以外任何形式的无线控制与机器人进行通信，包括但不限于任何人为触发的传感器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电力系统</w:t>
            </w:r>
          </w:p>
        </w:tc>
        <w:tc>
          <w:tcPr>
            <w:tcW w:w="1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 xml:space="preserve"> 18650 锂电池</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电池参数：3.7V 2500mAh</w:t>
            </w:r>
          </w:p>
          <w:p>
            <w:pPr>
              <w:keepNext w:val="0"/>
              <w:keepLines w:val="0"/>
              <w:widowControl/>
              <w:suppressLineNumbers w:val="0"/>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输出电压/电流：5V 6A</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不得擅自改动电池组件，若因此造成意外，需自行承担;</w:t>
            </w:r>
          </w:p>
        </w:tc>
      </w:tr>
    </w:tbl>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机器人须符合技术规范的相关要求，不符合技术规范的机器人将不能参加比赛，战队须按照技术规范进行整改直至解决相关问题。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黑体" w:hAnsi="黑体" w:eastAsia="黑体" w:cs="黑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黑体" w:hAnsi="黑体" w:eastAsia="黑体" w:cs="黑体"/>
          <w:b/>
          <w:bCs/>
          <w:color w:val="000000" w:themeColor="text1"/>
          <w:sz w:val="24"/>
          <w:szCs w:val="24"/>
          <w:lang w:val="en-US" w:eastAsia="zh-CN"/>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5.2战队标记物制作规范</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战队标记物的制作要求如下:</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T07 该自制道具应为立体道具，不限制材质，推荐使用激光切割机或3D打印机制作而成。高度需要超过120mm，在地面的垂直投影小于等于直径60mm的圆形区域。</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T08 该道具需要展示战队风貌，组委会鼓励参赛队在道具上绘制个性化的图案或文字，但是须积极向上、能够体现主题和赛事精神，内容须符合国家法律法规要求，若出现不符合要求的内容，裁判有权判定该道具不通过检录。</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战队标记物必须通过机器人检录和赛前检录才可被携带至赛场。</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黑体" w:hAnsi="黑体" w:eastAsia="黑体" w:cs="黑体"/>
          <w:b/>
          <w:bCs/>
          <w:color w:val="000000" w:themeColor="text1"/>
          <w:sz w:val="28"/>
          <w:szCs w:val="28"/>
          <w:lang w:val="en-US" w:eastAsia="zh-CN"/>
          <w14:textFill>
            <w14:solidFill>
              <w14:schemeClr w14:val="tx1"/>
            </w14:solidFill>
          </w14:textFill>
        </w:rPr>
      </w:pPr>
      <w:r>
        <w:rPr>
          <w:rFonts w:hint="eastAsia" w:ascii="黑体" w:hAnsi="黑体" w:eastAsia="黑体" w:cs="黑体"/>
          <w:b/>
          <w:bCs/>
          <w:color w:val="000000" w:themeColor="text1"/>
          <w:sz w:val="28"/>
          <w:szCs w:val="28"/>
          <w:lang w:val="en-US" w:eastAsia="zh-CN"/>
          <w14:textFill>
            <w14:solidFill>
              <w14:schemeClr w14:val="tx1"/>
            </w14:solidFill>
          </w14:textFill>
        </w:rPr>
        <w:t>比赛规则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黑体" w:hAnsi="黑体" w:eastAsia="黑体" w:cs="黑体"/>
          <w:b/>
          <w:bCs/>
          <w:color w:val="000000" w:themeColor="text1"/>
          <w:sz w:val="24"/>
          <w:szCs w:val="24"/>
          <w:lang w:val="en-US" w:eastAsia="zh-CN"/>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6.1违规判罚说明</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规则中包含如下几种判罚方式，其定义或解释如下：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eastAsia" w:ascii="黑体" w:hAnsi="黑体" w:eastAsia="黑体" w:cs="黑体"/>
          <w:b/>
          <w:bCs/>
          <w:color w:val="000000" w:themeColor="text1"/>
          <w:spacing w:val="0"/>
          <w:w w:val="100"/>
          <w:position w:val="0"/>
          <w:sz w:val="21"/>
          <w:szCs w:val="21"/>
          <w14:textFill>
            <w14:solidFill>
              <w14:schemeClr w14:val="tx1"/>
            </w14:solidFill>
          </w14:textFill>
        </w:rPr>
      </w:pPr>
      <w:r>
        <w:rPr>
          <w:rFonts w:hint="eastAsia" w:ascii="黑体" w:hAnsi="黑体" w:eastAsia="黑体" w:cs="黑体"/>
          <w:b/>
          <w:bCs/>
          <w:color w:val="000000" w:themeColor="text1"/>
          <w:spacing w:val="0"/>
          <w:w w:val="100"/>
          <w:position w:val="0"/>
          <w:sz w:val="21"/>
          <w:szCs w:val="21"/>
          <w14:textFill>
            <w14:solidFill>
              <w14:schemeClr w14:val="tx1"/>
            </w14:solidFill>
          </w14:textFill>
        </w:rPr>
        <w:t>违例</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E01. 裁判在发现战队违规后，立即向该战队宣布违例并扣除该战队20分。在此期间，比赛计时将不会停止。</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E02.比赛中，若因违规行为获得了得分优势则该得分优势无效，且该得分道具将失效。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eastAsia" w:ascii="黑体" w:hAnsi="黑体" w:eastAsia="黑体" w:cs="黑体"/>
          <w:b/>
          <w:bCs/>
          <w:color w:val="000000" w:themeColor="text1"/>
          <w:spacing w:val="0"/>
          <w:w w:val="100"/>
          <w:position w:val="0"/>
          <w:sz w:val="21"/>
          <w:szCs w:val="21"/>
          <w14:textFill>
            <w14:solidFill>
              <w14:schemeClr w14:val="tx1"/>
            </w14:solidFill>
          </w14:textFill>
        </w:rPr>
      </w:pPr>
      <w:r>
        <w:rPr>
          <w:rFonts w:hint="eastAsia" w:ascii="黑体" w:hAnsi="黑体" w:eastAsia="黑体" w:cs="黑体"/>
          <w:b/>
          <w:bCs/>
          <w:color w:val="000000" w:themeColor="text1"/>
          <w:spacing w:val="0"/>
          <w:w w:val="100"/>
          <w:position w:val="0"/>
          <w:sz w:val="21"/>
          <w:szCs w:val="21"/>
          <w14:textFill>
            <w14:solidFill>
              <w14:schemeClr w14:val="tx1"/>
            </w14:solidFill>
          </w14:textFill>
        </w:rPr>
        <w:t>得分道具失效</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 xml:space="preserve">E03.若违规触碰场地道具及得分道具，则裁判将宣布相关道具失效。已经失效的得分道具将会被裁判移除出比赛场地，且无法继续获得分数。裁判有权根 据本手册内容对该得分道具失效前的最终状态是否计分进行裁定。计分阶段，若得分道具与机器人存在接触，该得分道具无论是否处于得分状态都不算得分。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pPr>
      <w:r>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t>取消本场比赛资格</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E04.本场比赛成绩作废，但不影响其他场次比赛。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eastAsia" w:ascii="黑体" w:hAnsi="黑体" w:eastAsia="黑体" w:cs="黑体"/>
          <w:b/>
          <w:bCs/>
          <w:color w:val="000000" w:themeColor="text1"/>
          <w:spacing w:val="0"/>
          <w:w w:val="100"/>
          <w:position w:val="0"/>
          <w:sz w:val="21"/>
          <w:szCs w:val="21"/>
          <w14:textFill>
            <w14:solidFill>
              <w14:schemeClr w14:val="tx1"/>
            </w14:solidFill>
          </w14:textFill>
        </w:rPr>
      </w:pPr>
      <w:r>
        <w:rPr>
          <w:rFonts w:hint="eastAsia" w:ascii="黑体" w:hAnsi="黑体" w:eastAsia="黑体" w:cs="黑体"/>
          <w:b/>
          <w:bCs/>
          <w:color w:val="000000" w:themeColor="text1"/>
          <w:spacing w:val="0"/>
          <w:w w:val="100"/>
          <w:position w:val="0"/>
          <w:sz w:val="21"/>
          <w:szCs w:val="21"/>
          <w14:textFill>
            <w14:solidFill>
              <w14:schemeClr w14:val="tx1"/>
            </w14:solidFill>
          </w14:textFill>
        </w:rPr>
        <w:t>取消全场比赛资格</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E05.该战队不得继续参与该场比赛或下一场比赛，所有场次比赛成绩作废，该战队将失去继续参加本次比赛的机会和评奖资格。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000000" w:themeColor="text1"/>
          <w:sz w:val="24"/>
          <w:szCs w:val="24"/>
          <w:lang w:val="en-US" w:eastAsia="zh-CN"/>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 xml:space="preserve">6.2安全规则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pPr>
      <w:r>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t>机器人安全</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RO1 战队对机器人的设计搭建，须符合技术规范的要求。</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R02 机器人的各种零部件需安全使用。</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R03 机器人不可有主动分离零部件（发射、弹射等）的动作。</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R04 比赛全程中机器人不得使用包括但不限于双面胶或胶水黏贴场地道具。</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R05 裁判有权拒绝危险的机器人进入赛场进行比赛。裁判有权依据机器人危险程度判断是否取消战队全场比赛资格。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pPr>
      <w:r>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t>参赛队员安全规则</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leftChars="0" w:firstLine="440" w:firstLineChars="200"/>
        <w:jc w:val="both"/>
        <w:textAlignment w:val="auto"/>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R06 参赛队员需在指导教师的引导下，仔细阅读本手册后，进行比赛的准备与机器人的设计搭建。</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leftChars="0" w:firstLine="440" w:firstLineChars="200"/>
        <w:jc w:val="both"/>
        <w:textAlignment w:val="auto"/>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R07 参赛队员在准备比赛的过程中不可擅自进行危险操作。</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leftChars="0" w:firstLine="440" w:firstLineChars="200"/>
        <w:jc w:val="both"/>
        <w:textAlignment w:val="auto"/>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R08 在使用工具（螺丝刀、锋利刀具）等危险物品时需注意安全。</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leftChars="0" w:firstLine="440" w:firstLineChars="200"/>
        <w:jc w:val="both"/>
        <w:textAlignment w:val="auto"/>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R09 比赛中，参赛选手应佩戴护目镜；留长发者，须将长发扎起；战队禁止穿露脚趾的鞋进入赛场。</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leftChars="0" w:firstLine="440" w:firstLineChars="200"/>
        <w:jc w:val="both"/>
        <w:textAlignment w:val="auto"/>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R10 比赛中，战队不可进行按压赛台，破坏场地道具等危险动作。</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leftChars="0" w:firstLine="440" w:firstLineChars="200"/>
        <w:jc w:val="both"/>
        <w:textAlignment w:val="auto"/>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如不符合以上安全要求，裁判有权拒绝战队进入赛场进行比赛，要求战队整改直至解决相关问题；裁判有权依据危险程度判断是否当场取消战队全场比赛资格。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黑体" w:hAnsi="黑体" w:eastAsia="黑体" w:cs="黑体"/>
          <w:color w:val="000000" w:themeColor="text1"/>
          <w:spacing w:val="0"/>
          <w:w w:val="100"/>
          <w:position w:val="0"/>
          <w:sz w:val="21"/>
          <w:szCs w:val="21"/>
          <w:lang w:val="en-US" w:eastAsia="zh-CN" w:bidi="en-US"/>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6.3操作规则</w:t>
      </w:r>
      <w:r>
        <w:rPr>
          <w:rFonts w:hint="eastAsia" w:ascii="黑体" w:hAnsi="黑体" w:eastAsia="黑体" w:cs="黑体"/>
          <w:color w:val="000000" w:themeColor="text1"/>
          <w:spacing w:val="0"/>
          <w:w w:val="100"/>
          <w:position w:val="0"/>
          <w:sz w:val="21"/>
          <w:szCs w:val="21"/>
          <w:lang w:val="en-US" w:eastAsia="zh-CN" w:bidi="en-US"/>
          <w14:textFill>
            <w14:solidFill>
              <w14:schemeClr w14:val="tx1"/>
            </w14:solidFill>
          </w14:textFill>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pPr>
      <w:r>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t>参赛选手错误站位</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highlight w:val="none"/>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 xml:space="preserve">R11. </w:t>
      </w:r>
      <w:r>
        <w:rPr>
          <w:rFonts w:hint="eastAsia" w:ascii="仿宋" w:hAnsi="仿宋" w:eastAsia="仿宋" w:cs="仿宋"/>
          <w:i w:val="0"/>
          <w:iCs w:val="0"/>
          <w:color w:val="000000" w:themeColor="text1"/>
          <w:spacing w:val="0"/>
          <w:w w:val="100"/>
          <w:kern w:val="0"/>
          <w:position w:val="0"/>
          <w:sz w:val="22"/>
          <w:szCs w:val="22"/>
          <w:highlight w:val="none"/>
          <w:lang w:val="en-US" w:eastAsia="zh-CN" w:bidi="ar-SA"/>
          <w14:textFill>
            <w14:solidFill>
              <w14:schemeClr w14:val="tx1"/>
            </w14:solidFill>
          </w14:textFill>
        </w:rPr>
        <w:t>比赛全程，参赛队员须站在规定区域进行比赛。自动控制阶段，参赛队员须站在自动任务区的规定操作区域（红蓝方各一名操作手，观察手视情况对红蓝方选手进行协助）。手动控制阶段，队伍派出两名操作手与一名观察手在图示对应颜色方的区域内进行比赛，参赛队员不可在操作区外进行比赛。如战队仅有一名参赛队员能够参赛，则须选择其中一个比赛角色进行比赛，不可同时扮演操作手和观察手的角色（例：操作手不可拿着手柄在观察手区操作机器），操作区域实际大小视比赛现场情况而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pPr>
      <w:r>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t>参赛选手错误换位</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R12. 手动控制阶段中，若操作手与观察手须要更换角色，须向裁判喊出“红方申请换位”或“蓝方申请换位”。得到裁判许可后，停止当前操作，前往另一区域继续比赛。更换角色期间，比赛继续正常计时。操作手申请换位至观察手时，需要将蓝牙手柄放置于场地启动区内，再进行换位。</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b w:val="0"/>
          <w:bCs w:val="0"/>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·以下行为将会被判违例：手动控制阶段，未经裁判允许自行进行角色更换；手动控制阶段申请换位后，操作手手持蓝牙手柄进行换位；手动控制阶段时，手持蓝牙手柄在观察手区进行操作机器人。</w:t>
      </w:r>
    </w:p>
    <w:p>
      <w:pPr>
        <w:pStyle w:val="7"/>
        <w:keepNext w:val="0"/>
        <w:keepLines w:val="0"/>
        <w:widowControl w:val="0"/>
        <w:shd w:val="clear" w:color="auto" w:fill="auto"/>
        <w:bidi w:val="0"/>
        <w:spacing w:before="0" w:after="100" w:line="413" w:lineRule="exact"/>
        <w:ind w:left="0" w:right="0" w:firstLine="480" w:firstLineChars="200"/>
        <w:jc w:val="left"/>
        <w:rPr>
          <w:rFonts w:hint="eastAsia" w:ascii="黑体" w:hAnsi="黑体" w:eastAsia="黑体" w:cs="黑体"/>
          <w:color w:val="000000" w:themeColor="text1"/>
          <w:spacing w:val="0"/>
          <w:w w:val="100"/>
          <w:position w:val="0"/>
          <w:sz w:val="21"/>
          <w:szCs w:val="21"/>
          <w:lang w:val="en-US" w:eastAsia="zh-CN" w:bidi="en-US"/>
          <w14:textFill>
            <w14:solidFill>
              <w14:schemeClr w14:val="tx1"/>
            </w14:solidFill>
          </w14:textFill>
        </w:rPr>
      </w:pPr>
      <w:r>
        <w:rPr>
          <w:rFonts w:cs="微软雅黑"/>
          <w:bCs/>
          <w:color w:val="000000" w:themeColor="text1"/>
          <w:sz w:val="24"/>
          <w:szCs w:val="21"/>
          <w14:textFill>
            <w14:solidFill>
              <w14:schemeClr w14:val="tx1"/>
            </w14:solidFill>
          </w14:textFill>
        </w:rPr>
        <w:drawing>
          <wp:anchor distT="0" distB="0" distL="114300" distR="114300" simplePos="0" relativeHeight="251681792" behindDoc="0" locked="0" layoutInCell="1" allowOverlap="1">
            <wp:simplePos x="0" y="0"/>
            <wp:positionH relativeFrom="margin">
              <wp:posOffset>939165</wp:posOffset>
            </wp:positionH>
            <wp:positionV relativeFrom="paragraph">
              <wp:posOffset>227965</wp:posOffset>
            </wp:positionV>
            <wp:extent cx="3999230" cy="3326765"/>
            <wp:effectExtent l="0" t="0" r="8890" b="10795"/>
            <wp:wrapTopAndBottom/>
            <wp:docPr id="8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99230" cy="3326765"/>
                    </a:xfrm>
                    <a:prstGeom prst="rect">
                      <a:avLst/>
                    </a:prstGeom>
                  </pic:spPr>
                </pic:pic>
              </a:graphicData>
            </a:graphic>
          </wp:anchor>
        </w:drawing>
      </w:r>
    </w:p>
    <w:p>
      <w:pPr>
        <w:pStyle w:val="12"/>
        <w:keepNext w:val="0"/>
        <w:keepLines w:val="0"/>
        <w:widowControl w:val="0"/>
        <w:shd w:val="clear" w:color="auto" w:fill="auto"/>
        <w:bidi w:val="0"/>
        <w:spacing w:before="0" w:after="100" w:line="432" w:lineRule="exact"/>
        <w:ind w:right="0"/>
        <w:jc w:val="center"/>
        <w:rPr>
          <w:rFonts w:hint="eastAsia" w:ascii="黑体" w:hAnsi="黑体" w:eastAsia="黑体" w:cs="黑体"/>
          <w:color w:val="000000" w:themeColor="text1"/>
          <w:spacing w:val="0"/>
          <w:w w:val="100"/>
          <w:position w:val="0"/>
          <w:sz w:val="21"/>
          <w:szCs w:val="21"/>
          <w:lang w:val="en-US" w:eastAsia="zh-CN" w:bidi="en-US"/>
          <w14:textFill>
            <w14:solidFill>
              <w14:schemeClr w14:val="tx1"/>
            </w14:solidFill>
          </w14:textFill>
        </w:rPr>
      </w:pPr>
      <w:r>
        <w:rPr>
          <w:rFonts w:hint="eastAsia" w:ascii="黑体" w:hAnsi="黑体" w:eastAsia="黑体" w:cs="黑体"/>
          <w:color w:val="000000" w:themeColor="text1"/>
          <w:spacing w:val="0"/>
          <w:w w:val="100"/>
          <w:position w:val="0"/>
          <w:sz w:val="21"/>
          <w:szCs w:val="21"/>
          <w:lang w:val="en-US" w:eastAsia="zh-CN" w:bidi="en-US"/>
          <w14:textFill>
            <w14:solidFill>
              <w14:schemeClr w14:val="tx1"/>
            </w14:solidFill>
          </w14:textFill>
        </w:rPr>
        <w:t>选手站位示意图</w:t>
      </w:r>
    </w:p>
    <w:p>
      <w:pPr>
        <w:pStyle w:val="12"/>
        <w:keepNext w:val="0"/>
        <w:keepLines w:val="0"/>
        <w:widowControl w:val="0"/>
        <w:shd w:val="clear" w:color="auto" w:fill="auto"/>
        <w:bidi w:val="0"/>
        <w:spacing w:before="0" w:after="100" w:line="432" w:lineRule="exact"/>
        <w:ind w:left="0" w:right="0" w:firstLine="420" w:firstLineChars="200"/>
        <w:jc w:val="center"/>
        <w:rPr>
          <w:rFonts w:hint="eastAsia" w:ascii="黑体" w:hAnsi="黑体" w:eastAsia="黑体" w:cs="黑体"/>
          <w:color w:val="000000" w:themeColor="text1"/>
          <w:spacing w:val="0"/>
          <w:w w:val="100"/>
          <w:position w:val="0"/>
          <w:sz w:val="21"/>
          <w:szCs w:val="21"/>
          <w:lang w:val="en-US" w:eastAsia="zh-CN" w:bidi="en-US"/>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pPr>
      <w:r>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t>机器人的启动、重启与改装规则</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R13.  参赛队员应在裁判宣布比赛开始后启动机器人。若机器人提前发生位移，则视为机器人提前启动。机器人启动时，需完全进入启动区。</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R14. 参赛队员在比赛过程中，可以随时向裁判申请重启或改装机器人，在获得许可后，参赛队员可对本方机器人进行重启或改装。比赛不会因机器人重启和改装而暂停，计时将持续进行。</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R15. 若参赛队员选择重启或改装本方机器人，参赛队员须向裁判举手并 喊出“红/蓝方请求，重启”，并在裁判喊出“同意红/蓝方重启”后方可取出本方机器人进行重启或改装，战队不得未经裁判允许擅自重启机器人。</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R16. 在自动控制阶段，获得裁判的重启许可后，参赛选手可直接接触机器人；</w:t>
      </w:r>
      <w:r>
        <w:rPr>
          <w:rFonts w:hint="eastAsia" w:ascii="仿宋" w:hAnsi="仿宋" w:eastAsia="仿宋" w:cs="仿宋"/>
          <w:b/>
          <w:bCs/>
          <w:i w:val="0"/>
          <w:iCs w:val="0"/>
          <w:color w:val="000000" w:themeColor="text1"/>
          <w:spacing w:val="0"/>
          <w:w w:val="100"/>
          <w:kern w:val="0"/>
          <w:position w:val="0"/>
          <w:sz w:val="22"/>
          <w:szCs w:val="22"/>
          <w:lang w:val="en-US" w:eastAsia="zh-CN" w:bidi="ar-SA"/>
          <w14:textFill>
            <w14:solidFill>
              <w14:schemeClr w14:val="tx1"/>
            </w14:solidFill>
          </w14:textFill>
        </w:rPr>
        <w:t>在手动控制阶段，仅操作手除获得裁判的重启许后，可直接接触机器人。</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R17. 机器人重启或改装后，需要从启动区重新出发，机器人需完全进入启动区。</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R18. 改装区域为启动区内及赛场外。</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R19. 若机器人位于参赛队员无法触碰的区域，参赛队员可向裁判举手并喊出“红/蓝方请求，请求裁判代取”后，由裁判代为取出，由于裁判代取机器人而带来的违规判罚由战队自行承担。</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·以下行为将会被判罚违例：提前启动机器人；机器人启动时未完全进入启动区；重启或改装机器人时未向裁判员申请；未在改装区域进行改装；手动控制阶段，观察手直接或间接接触机器人。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比赛期间道具的相关规则</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R20. 单场比赛全程，得分道具在任意时刻的投影不得完全离开比赛场地。否则，在比赛期间该得分道具失效且无法再次被放回比赛场地内。</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R21. 选手可以直接或间接接触完全进入手动装载区的方块类道具。</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·直接接触：选手身体的任意部位（包括头发、手等）、挂在身上的饰品或证件，与场上的道具存在接触，视为直接接触；</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·间接接触：参赛队员与机器人发生接触时，机器人与道具之间存在物理接触。</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以下行为将会被判罚违例：比赛期间，参赛队员直接触碰场上得分道具或任务道具；参赛队员申请重启后取机器人时，与机器人发生接触的同时机器人与道具之间存在物理接触，即参赛队员间接接触得分道具或任务道具；</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·以下行为将会被判得分道具失效：比赛期间，参赛队员直接或间接接触得分道具，被接触的得分道具，将会失效被移出场地外。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pPr>
      <w:r>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t>比赛期间机器人活动范围</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R22. 自动控制阶段，机器人可在自动任务区内完成任务，机器人垂直投影可部分进入手动任务区；手动控制阶段，机器人需在手动任务区内完成任务，机器人的任意部分垂直投影均不可进入自动任务区。</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R23. 自动控制阶段时，机器人可在己方及合作任务区进行活动。</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·以下行为将会被判罚违例：手动控制阶段，机器人垂直投影完全或部分进入自动任务区；自动控制阶段，己方机器人完全进入另一颜色方的独立任务区；</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·以下行为将会被判罚取消本场比赛资格：自动控制阶段，机器人进入另一颜色方独立任务区后，拒绝重启机器人；自动控制阶段，机器人多次进入（3次及以上）另一颜色方的独立任务区。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pPr>
      <w:r>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t>比赛期间电子通讯设备及编程工具的使用</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R24. 选手仅可在手动控制阶段使用蓝牙手柄对己方机器人进行控制。</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R25. 比赛期间，战队不允许携带电脑、平板等可用于编程的工具进入赛场区。</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以下行为将会被判罚取消本场比赛资格：携带编程工具进入赛场区，经裁判提醒，仍拒绝送至场外或继续使用；自动控制阶段，使用蓝牙手柄操控机器人。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pPr>
      <w:r>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t>比赛期间场地相关规则</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 xml:space="preserve">R26. 比赛期间，选手不可故意按压或撞击比赛场地。 </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R27. 在比赛全过程中，参赛队员、机器人不得故意毁坏场地元素。</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·以下行为将会被判罚违例：故意撞击场地或按压场地；故意损毁场地元素；</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·如因此违例行为而获得得分优势，则该得分无效，与该行为相关的得分道具也将被移出场外。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pPr>
      <w:r>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t>按时到达赛场</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R28. 队伍在实际比赛规定赛程中，需按照赛程，按时抵达赛场；如实际赛程有变化，则以现场通知赛程为准。</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·以下行为将会被判罚取消队伍本场比赛资格：实际比赛规定赛程中，超过5分钟未抵达赛场。</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·以下行为将会被判罚取消全场比赛成绩：队伍报到检录后，无法继续参赛。该战队涉及到的比赛场次照常比赛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pPr>
      <w:r>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t>场外指导</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R29. 比赛过程中，不得出现赛场外的指导行为。</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违规判罚：首次给予口头警告，二次违规将判罚违例，情况严重者取消战队本场比赛资格。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pPr>
      <w:r>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t>过分行为</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R30. 在全场比赛期间，出现包括但不限于以下情形的，情节恶劣者裁判有权取消全场比赛成绩：</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·不礼貌行为（辱骂，脏话，肢体接触）。</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·严重影响比赛场地、观众安全导致比赛无法正常进行。</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·严重违反竞赛精神（作弊）。</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·重复或无视裁判警告，公然违例。</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·恶意投诉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pPr>
      <w:r>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t>异常状态</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R31. 当出现包括但不限于如下状态时：</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·安全隐患：赛场内出现关于场地、参赛队员和机器人的安全隐患。</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·场地道具缺失或损坏：比赛场地和场地道具的缺失或损坏导致无法正常进行比赛。</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·重赛：重赛将由裁判根据实际情况慎重讨论决定。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pPr>
      <w:r>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t>场地、道具不确定性</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R32. 在由于生产和加工的不确定性，所有道具及场地将存在不可避免的细微误差（尺寸、重量、颜色、平整度等）。战队在设计搭建机器人时，须考虑此误差因素，适应不同道具及场地。如现场有其他适配道具，选手可在赛前申请替换。机器人应该能够适应如场地褶皱、灯光变化等不可改变的因素，凡因这些不可改变因素产生的机器人表现差异，战队应自行完成针对性调试。</w:t>
      </w:r>
    </w:p>
    <w:p>
      <w:pPr>
        <w:pStyle w:val="12"/>
        <w:keepNext w:val="0"/>
        <w:keepLines w:val="0"/>
        <w:widowControl w:val="0"/>
        <w:shd w:val="clear" w:color="auto" w:fill="auto"/>
        <w:bidi w:val="0"/>
        <w:spacing w:before="0" w:after="100" w:line="432" w:lineRule="exact"/>
        <w:ind w:left="0" w:right="0" w:firstLine="440" w:firstLineChars="200"/>
        <w:jc w:val="left"/>
        <w:rPr>
          <w:rFonts w:hint="default" w:ascii="仿宋" w:hAnsi="仿宋" w:eastAsia="仿宋" w:cs="仿宋"/>
          <w:color w:val="000000" w:themeColor="text1"/>
          <w:spacing w:val="0"/>
          <w:w w:val="100"/>
          <w:kern w:val="0"/>
          <w:position w:val="0"/>
          <w:sz w:val="22"/>
          <w:szCs w:val="22"/>
          <w:lang w:val="en-US" w:eastAsia="zh-CN" w:bidi="ar-SA"/>
          <w14:textFill>
            <w14:solidFill>
              <w14:schemeClr w14:val="tx1"/>
            </w14:solidFill>
          </w14:textFill>
        </w:rPr>
      </w:pP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黑体" w:hAnsi="黑体" w:eastAsia="黑体" w:cs="黑体"/>
          <w:b/>
          <w:bCs/>
          <w:color w:val="000000" w:themeColor="text1"/>
          <w:sz w:val="28"/>
          <w:szCs w:val="28"/>
          <w:lang w:val="en-US" w:eastAsia="zh-CN"/>
          <w14:textFill>
            <w14:solidFill>
              <w14:schemeClr w14:val="tx1"/>
            </w14:solidFill>
          </w14:textFill>
        </w:rPr>
      </w:pPr>
      <w:r>
        <w:rPr>
          <w:rFonts w:hint="eastAsia" w:ascii="黑体" w:hAnsi="黑体" w:eastAsia="黑体" w:cs="黑体"/>
          <w:b/>
          <w:bCs/>
          <w:color w:val="000000" w:themeColor="text1"/>
          <w:sz w:val="28"/>
          <w:szCs w:val="28"/>
          <w:lang w:val="en-US" w:eastAsia="zh-CN"/>
          <w14:textFill>
            <w14:solidFill>
              <w14:schemeClr w14:val="tx1"/>
            </w14:solidFill>
          </w14:textFill>
        </w:rPr>
        <w:t>申诉及仲裁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000000" w:themeColor="text1"/>
          <w:sz w:val="24"/>
          <w:szCs w:val="24"/>
          <w:lang w:val="en-US" w:eastAsia="zh-CN"/>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7.1比赛结果确认</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pPr>
      <w:r>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t>成绩确认</w:t>
      </w:r>
    </w:p>
    <w:p>
      <w:pPr>
        <w:pStyle w:val="12"/>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after="100" w:line="432" w:lineRule="exact"/>
        <w:ind w:leftChars="0" w:firstLine="440" w:firstLineChars="200"/>
        <w:jc w:val="left"/>
        <w:textAlignment w:val="auto"/>
        <w:rPr>
          <w:rFonts w:hint="eastAsia" w:ascii="仿宋" w:hAnsi="仿宋" w:eastAsia="仿宋" w:cs="仿宋"/>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color w:val="000000" w:themeColor="text1"/>
          <w:spacing w:val="0"/>
          <w:w w:val="100"/>
          <w:kern w:val="0"/>
          <w:position w:val="0"/>
          <w:sz w:val="22"/>
          <w:szCs w:val="22"/>
          <w:lang w:val="en-US" w:eastAsia="zh-CN" w:bidi="ar-SA"/>
          <w14:textFill>
            <w14:solidFill>
              <w14:schemeClr w14:val="tx1"/>
            </w14:solidFill>
          </w14:textFill>
        </w:rPr>
        <w:t>比赛结束，在裁判做完比赛统计和判定后，队伍队长需要在成绩确认单上签字确认比赛成绩，经队长对比赛成绩签字确认后，组委会不再接受该场比赛的任何申诉。</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pPr>
      <w:r>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t>争议处理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jc w:val="both"/>
        <w:textAlignment w:val="auto"/>
        <w:rPr>
          <w:rFonts w:hint="eastAsia" w:ascii="仿宋" w:hAnsi="仿宋" w:eastAsia="仿宋" w:cs="仿宋"/>
          <w:color w:val="000000" w:themeColor="text1"/>
          <w:spacing w:val="0"/>
          <w:w w:val="100"/>
          <w:kern w:val="0"/>
          <w:position w:val="0"/>
          <w:sz w:val="22"/>
          <w:szCs w:val="22"/>
          <w:u w:val="none"/>
          <w:shd w:val="clear" w:color="auto" w:fill="auto"/>
          <w:lang w:val="en-US" w:eastAsia="zh-CN" w:bidi="ar-SA"/>
          <w14:textFill>
            <w14:solidFill>
              <w14:schemeClr w14:val="tx1"/>
            </w14:solidFill>
          </w14:textFill>
        </w:rPr>
      </w:pPr>
      <w:r>
        <w:rPr>
          <w:rFonts w:hint="eastAsia" w:ascii="仿宋" w:hAnsi="仿宋" w:eastAsia="仿宋" w:cs="仿宋"/>
          <w:color w:val="000000" w:themeColor="text1"/>
          <w:spacing w:val="0"/>
          <w:w w:val="100"/>
          <w:kern w:val="0"/>
          <w:position w:val="0"/>
          <w:sz w:val="22"/>
          <w:szCs w:val="22"/>
          <w:u w:val="none"/>
          <w:shd w:val="clear" w:color="auto" w:fill="auto"/>
          <w:lang w:val="en-US" w:eastAsia="zh-CN" w:bidi="ar-SA"/>
          <w14:textFill>
            <w14:solidFill>
              <w14:schemeClr w14:val="tx1"/>
            </w14:solidFill>
          </w14:textFill>
        </w:rPr>
        <w:t>若当场比赛的参赛队员对该场比赛结果仍存在异议，且对当值裁判的解释依然不认同的，可不签字确认成绩，但须在成绩确认单备注栏上写明情况后方可离场。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000000" w:themeColor="text1"/>
          <w:sz w:val="24"/>
          <w:szCs w:val="24"/>
          <w:lang w:val="en-US" w:eastAsia="zh-CN"/>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7.2申诉流程及申诉时效</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pPr>
      <w:r>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t>申诉步骤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jc w:val="both"/>
        <w:textAlignment w:val="auto"/>
        <w:rPr>
          <w:rFonts w:hint="eastAsia" w:ascii="黑体" w:hAnsi="黑体" w:eastAsia="黑体" w:cs="黑体"/>
          <w:color w:val="000000" w:themeColor="text1"/>
          <w:spacing w:val="0"/>
          <w:w w:val="100"/>
          <w:position w:val="0"/>
          <w:sz w:val="21"/>
          <w:szCs w:val="21"/>
          <w:lang w:val="en-US" w:eastAsia="zh-CN" w:bidi="en-US"/>
          <w14:textFill>
            <w14:solidFill>
              <w14:schemeClr w14:val="tx1"/>
            </w14:solidFill>
          </w14:textFill>
        </w:rPr>
      </w:pPr>
      <w:r>
        <w:rPr>
          <w:rFonts w:hint="eastAsia" w:ascii="仿宋" w:hAnsi="仿宋" w:eastAsia="仿宋" w:cs="仿宋"/>
          <w:color w:val="000000" w:themeColor="text1"/>
          <w:spacing w:val="0"/>
          <w:w w:val="100"/>
          <w:kern w:val="0"/>
          <w:position w:val="0"/>
          <w:sz w:val="22"/>
          <w:szCs w:val="22"/>
          <w:u w:val="none"/>
          <w:shd w:val="clear" w:color="auto" w:fill="auto"/>
          <w:lang w:val="en-US" w:eastAsia="zh-CN" w:bidi="ar-SA"/>
          <w14:textFill>
            <w14:solidFill>
              <w14:schemeClr w14:val="tx1"/>
            </w14:solidFill>
          </w14:textFill>
        </w:rPr>
        <w:t>申诉应按照规定的流程，在“有效申诉期”内提出，并遵循“文明参赛”的竞赛精神。先由参赛战队队长填写《申诉表》，然后配合仲裁委员会调查，如仲裁委员会有需要，将要求申诉双方到达指定地点调查情况。调查期间，双方在场只能是队长、上场选手，申诉战队队长必须出场。仲裁委员会有权在回避指导教师、学生家长及亲友的环境下和申诉选手单独沟通。调查过程中申诉方应清晰地表达申诉诉求，描述客观事实。</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pPr>
      <w:r>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t>有效申诉期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jc w:val="both"/>
        <w:textAlignment w:val="auto"/>
        <w:rPr>
          <w:rFonts w:hint="eastAsia" w:ascii="黑体" w:hAnsi="黑体" w:eastAsia="黑体" w:cs="黑体"/>
          <w:color w:val="000000" w:themeColor="text1"/>
          <w:spacing w:val="0"/>
          <w:w w:val="100"/>
          <w:position w:val="0"/>
          <w:sz w:val="21"/>
          <w:szCs w:val="21"/>
          <w:lang w:val="en-US" w:eastAsia="zh-CN" w:bidi="en-US"/>
          <w14:textFill>
            <w14:solidFill>
              <w14:schemeClr w14:val="tx1"/>
            </w14:solidFill>
          </w14:textFill>
        </w:rPr>
      </w:pPr>
      <w:r>
        <w:rPr>
          <w:rFonts w:hint="eastAsia" w:ascii="仿宋" w:hAnsi="仿宋" w:eastAsia="仿宋" w:cs="仿宋"/>
          <w:color w:val="000000" w:themeColor="text1"/>
          <w:spacing w:val="0"/>
          <w:w w:val="100"/>
          <w:kern w:val="0"/>
          <w:position w:val="0"/>
          <w:sz w:val="22"/>
          <w:szCs w:val="22"/>
          <w:u w:val="none"/>
          <w:shd w:val="clear" w:color="auto" w:fill="auto"/>
          <w:lang w:val="en-US" w:eastAsia="zh-CN" w:bidi="ar-SA"/>
          <w14:textFill>
            <w14:solidFill>
              <w14:schemeClr w14:val="tx1"/>
            </w14:solidFill>
          </w14:textFill>
        </w:rPr>
        <w:t>一般为单场比赛结束后30分钟内，具体时间以比赛前发布的《秩序册》为准。申诉方及被申诉方须在与裁判长约定的时间内到场。</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pPr>
      <w:r>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t>申诉回应时效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spacing w:val="0"/>
          <w:w w:val="100"/>
          <w:kern w:val="0"/>
          <w:position w:val="0"/>
          <w:sz w:val="22"/>
          <w:szCs w:val="22"/>
          <w:u w:val="none"/>
          <w:shd w:val="clear" w:color="auto" w:fill="auto"/>
          <w:lang w:val="en-US" w:eastAsia="zh-CN" w:bidi="ar-SA"/>
          <w14:textFill>
            <w14:solidFill>
              <w14:schemeClr w14:val="tx1"/>
            </w14:solidFill>
          </w14:textFill>
        </w:rPr>
      </w:pPr>
      <w:r>
        <w:rPr>
          <w:rFonts w:hint="eastAsia" w:ascii="仿宋" w:hAnsi="仿宋" w:eastAsia="仿宋" w:cs="仿宋"/>
          <w:color w:val="000000" w:themeColor="text1"/>
          <w:spacing w:val="0"/>
          <w:w w:val="100"/>
          <w:kern w:val="0"/>
          <w:position w:val="0"/>
          <w:sz w:val="22"/>
          <w:szCs w:val="22"/>
          <w:u w:val="none"/>
          <w:shd w:val="clear" w:color="auto" w:fill="auto"/>
          <w:lang w:val="en-US" w:eastAsia="zh-CN" w:bidi="ar-SA"/>
          <w14:textFill>
            <w14:solidFill>
              <w14:schemeClr w14:val="tx1"/>
            </w14:solidFill>
          </w14:textFill>
        </w:rPr>
        <w:t>并非所有申诉都会被受理，仲裁委员会将根据实际情况确定是否接受申诉, 并开启仲裁流程。被受理的申诉，仲裁委员会一般会在当天比赛结束之后或次日比赛开始之前回应申诉。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000000" w:themeColor="text1"/>
          <w:sz w:val="24"/>
          <w:szCs w:val="24"/>
          <w:lang w:val="en-US" w:eastAsia="zh-CN"/>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7.3无效申诉</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pPr>
      <w:r>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t>超时的申诉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jc w:val="both"/>
        <w:textAlignment w:val="auto"/>
        <w:rPr>
          <w:rFonts w:hint="eastAsia" w:ascii="仿宋" w:hAnsi="仿宋" w:eastAsia="仿宋" w:cs="仿宋"/>
          <w:color w:val="000000" w:themeColor="text1"/>
          <w:spacing w:val="0"/>
          <w:w w:val="100"/>
          <w:kern w:val="0"/>
          <w:position w:val="0"/>
          <w:sz w:val="22"/>
          <w:szCs w:val="22"/>
          <w:u w:val="none"/>
          <w:shd w:val="clear" w:color="auto" w:fill="auto"/>
          <w:lang w:val="en-US" w:eastAsia="zh-CN" w:bidi="ar-SA"/>
          <w14:textFill>
            <w14:solidFill>
              <w14:schemeClr w14:val="tx1"/>
            </w14:solidFill>
          </w14:textFill>
        </w:rPr>
      </w:pPr>
      <w:r>
        <w:rPr>
          <w:rFonts w:hint="eastAsia" w:ascii="仿宋" w:hAnsi="仿宋" w:eastAsia="仿宋" w:cs="仿宋"/>
          <w:color w:val="000000" w:themeColor="text1"/>
          <w:spacing w:val="0"/>
          <w:w w:val="100"/>
          <w:kern w:val="0"/>
          <w:position w:val="0"/>
          <w:sz w:val="22"/>
          <w:szCs w:val="22"/>
          <w:u w:val="none"/>
          <w:shd w:val="clear" w:color="auto" w:fill="auto"/>
          <w:lang w:val="en-US" w:eastAsia="zh-CN" w:bidi="ar-SA"/>
          <w14:textFill>
            <w14:solidFill>
              <w14:schemeClr w14:val="tx1"/>
            </w14:solidFill>
          </w14:textFill>
        </w:rPr>
        <w:t>未能在“有效申诉期”内提交的申诉，将被视为无效且不予受理。若申诉方未能在与仲裁委员会约定的时间内到场，或在调查时中途无故离场，将被视为无 效申诉。被申诉方未能在与仲裁委员会约定的时间内到场，仲裁委员会将会直接 判定仲裁结果并作为最终结果。</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pPr>
      <w:r>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t>申诉人员超出规定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jc w:val="both"/>
        <w:textAlignment w:val="auto"/>
        <w:rPr>
          <w:rFonts w:hint="eastAsia" w:ascii="仿宋" w:hAnsi="仿宋" w:eastAsia="仿宋" w:cs="仿宋"/>
          <w:color w:val="000000" w:themeColor="text1"/>
          <w:spacing w:val="0"/>
          <w:w w:val="100"/>
          <w:kern w:val="0"/>
          <w:position w:val="0"/>
          <w:sz w:val="22"/>
          <w:szCs w:val="22"/>
          <w:u w:val="none"/>
          <w:shd w:val="clear" w:color="auto" w:fill="auto"/>
          <w:lang w:val="en-US" w:eastAsia="zh-CN" w:bidi="ar-SA"/>
          <w14:textFill>
            <w14:solidFill>
              <w14:schemeClr w14:val="tx1"/>
            </w14:solidFill>
          </w14:textFill>
        </w:rPr>
      </w:pPr>
      <w:r>
        <w:rPr>
          <w:rFonts w:hint="eastAsia" w:ascii="仿宋" w:hAnsi="仿宋" w:eastAsia="仿宋" w:cs="仿宋"/>
          <w:color w:val="000000" w:themeColor="text1"/>
          <w:spacing w:val="0"/>
          <w:w w:val="100"/>
          <w:kern w:val="0"/>
          <w:position w:val="0"/>
          <w:sz w:val="22"/>
          <w:szCs w:val="22"/>
          <w:u w:val="none"/>
          <w:shd w:val="clear" w:color="auto" w:fill="auto"/>
          <w:lang w:val="en-US" w:eastAsia="zh-CN" w:bidi="ar-SA"/>
          <w14:textFill>
            <w14:solidFill>
              <w14:schemeClr w14:val="tx1"/>
            </w14:solidFill>
          </w14:textFill>
        </w:rPr>
        <w:t>申诉方必须为参赛战队选手，其他人员的申诉将不予以受理。申诉双方的家长、指导教师等超出规定的人员在未经仲裁委员会允许的情况下参与仲裁过程, 仲裁委员会将会对违规战队提出警告。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jc w:val="both"/>
        <w:textAlignment w:val="auto"/>
        <w:rPr>
          <w:rFonts w:hint="eastAsia" w:ascii="仿宋" w:hAnsi="仿宋" w:eastAsia="仿宋" w:cs="仿宋"/>
          <w:color w:val="000000" w:themeColor="text1"/>
          <w:spacing w:val="0"/>
          <w:w w:val="100"/>
          <w:kern w:val="0"/>
          <w:position w:val="0"/>
          <w:sz w:val="22"/>
          <w:szCs w:val="22"/>
          <w:u w:val="none"/>
          <w:shd w:val="clear" w:color="auto" w:fill="auto"/>
          <w:lang w:val="en-US" w:eastAsia="zh-CN" w:bidi="ar-SA"/>
          <w14:textFill>
            <w14:solidFill>
              <w14:schemeClr w14:val="tx1"/>
            </w14:solidFill>
          </w14:textFill>
        </w:rPr>
      </w:pPr>
      <w:r>
        <w:rPr>
          <w:rFonts w:hint="eastAsia" w:ascii="仿宋" w:hAnsi="仿宋" w:eastAsia="仿宋" w:cs="仿宋"/>
          <w:color w:val="000000" w:themeColor="text1"/>
          <w:spacing w:val="0"/>
          <w:w w:val="100"/>
          <w:kern w:val="0"/>
          <w:position w:val="0"/>
          <w:sz w:val="22"/>
          <w:szCs w:val="22"/>
          <w:u w:val="none"/>
          <w:shd w:val="clear" w:color="auto" w:fill="auto"/>
          <w:lang w:val="en-US" w:eastAsia="zh-CN" w:bidi="ar-SA"/>
          <w14:textFill>
            <w14:solidFill>
              <w14:schemeClr w14:val="tx1"/>
            </w14:solidFill>
          </w14:textFill>
        </w:rPr>
        <w:t>·首次警告，多次警告无效，将取消比赛资格。</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pPr>
      <w:r>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t>申诉诉求不清晰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jc w:val="both"/>
        <w:textAlignment w:val="auto"/>
        <w:rPr>
          <w:rFonts w:hint="eastAsia" w:ascii="仿宋" w:hAnsi="仿宋" w:eastAsia="仿宋" w:cs="仿宋"/>
          <w:color w:val="000000" w:themeColor="text1"/>
          <w:spacing w:val="0"/>
          <w:w w:val="100"/>
          <w:kern w:val="0"/>
          <w:position w:val="0"/>
          <w:sz w:val="22"/>
          <w:szCs w:val="22"/>
          <w:u w:val="none"/>
          <w:shd w:val="clear" w:color="auto" w:fill="auto"/>
          <w:lang w:val="en-US" w:eastAsia="zh-CN" w:bidi="ar-SA"/>
          <w14:textFill>
            <w14:solidFill>
              <w14:schemeClr w14:val="tx1"/>
            </w14:solidFill>
          </w14:textFill>
        </w:rPr>
      </w:pPr>
      <w:r>
        <w:rPr>
          <w:rFonts w:hint="eastAsia" w:ascii="仿宋" w:hAnsi="仿宋" w:eastAsia="仿宋" w:cs="仿宋"/>
          <w:color w:val="000000" w:themeColor="text1"/>
          <w:spacing w:val="0"/>
          <w:w w:val="100"/>
          <w:kern w:val="0"/>
          <w:position w:val="0"/>
          <w:sz w:val="22"/>
          <w:szCs w:val="22"/>
          <w:u w:val="none"/>
          <w:shd w:val="clear" w:color="auto" w:fill="auto"/>
          <w:lang w:val="en-US" w:eastAsia="zh-CN" w:bidi="ar-SA"/>
          <w14:textFill>
            <w14:solidFill>
              <w14:schemeClr w14:val="tx1"/>
            </w14:solidFill>
          </w14:textFill>
        </w:rPr>
        <w:t>若因情绪等因素无法客观冷静地表达仲裁诉求，导致仲裁委员会无法正常的 理解申诉事实，无法正常进行情况调查，仲裁委员会将会对犯规方提出警告。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jc w:val="both"/>
        <w:textAlignment w:val="auto"/>
        <w:rPr>
          <w:rFonts w:hint="eastAsia" w:ascii="仿宋" w:hAnsi="仿宋" w:eastAsia="仿宋" w:cs="仿宋"/>
          <w:color w:val="000000" w:themeColor="text1"/>
          <w:spacing w:val="0"/>
          <w:w w:val="100"/>
          <w:kern w:val="0"/>
          <w:position w:val="0"/>
          <w:sz w:val="22"/>
          <w:szCs w:val="22"/>
          <w:u w:val="none"/>
          <w:shd w:val="clear" w:color="auto" w:fill="auto"/>
          <w:lang w:val="en-US" w:eastAsia="zh-CN" w:bidi="ar-SA"/>
          <w14:textFill>
            <w14:solidFill>
              <w14:schemeClr w14:val="tx1"/>
            </w14:solidFill>
          </w14:textFill>
        </w:rPr>
      </w:pPr>
      <w:r>
        <w:rPr>
          <w:rFonts w:hint="eastAsia" w:ascii="仿宋" w:hAnsi="仿宋" w:eastAsia="仿宋" w:cs="仿宋"/>
          <w:color w:val="000000" w:themeColor="text1"/>
          <w:spacing w:val="0"/>
          <w:w w:val="100"/>
          <w:kern w:val="0"/>
          <w:position w:val="0"/>
          <w:sz w:val="22"/>
          <w:szCs w:val="22"/>
          <w:u w:val="none"/>
          <w:shd w:val="clear" w:color="auto" w:fill="auto"/>
          <w:lang w:val="en-US" w:eastAsia="zh-CN" w:bidi="ar-SA"/>
          <w14:textFill>
            <w14:solidFill>
              <w14:schemeClr w14:val="tx1"/>
            </w14:solidFill>
          </w14:textFill>
        </w:rPr>
        <w:t>·首次警告，多次警告无效，将取消比赛资格。</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pPr>
      <w:r>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t>不文明的申诉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jc w:val="both"/>
        <w:textAlignment w:val="auto"/>
        <w:rPr>
          <w:rFonts w:hint="eastAsia" w:ascii="仿宋" w:hAnsi="仿宋" w:eastAsia="仿宋" w:cs="仿宋"/>
          <w:color w:val="000000" w:themeColor="text1"/>
          <w:spacing w:val="0"/>
          <w:w w:val="100"/>
          <w:kern w:val="0"/>
          <w:position w:val="0"/>
          <w:sz w:val="22"/>
          <w:szCs w:val="22"/>
          <w:u w:val="none"/>
          <w:shd w:val="clear" w:color="auto" w:fill="auto"/>
          <w:lang w:val="en-US" w:eastAsia="zh-CN" w:bidi="ar-SA"/>
          <w14:textFill>
            <w14:solidFill>
              <w14:schemeClr w14:val="tx1"/>
            </w14:solidFill>
          </w14:textFill>
        </w:rPr>
      </w:pPr>
      <w:r>
        <w:rPr>
          <w:rFonts w:hint="eastAsia" w:ascii="仿宋" w:hAnsi="仿宋" w:eastAsia="仿宋" w:cs="仿宋"/>
          <w:color w:val="000000" w:themeColor="text1"/>
          <w:spacing w:val="0"/>
          <w:w w:val="100"/>
          <w:kern w:val="0"/>
          <w:position w:val="0"/>
          <w:sz w:val="22"/>
          <w:szCs w:val="22"/>
          <w:u w:val="none"/>
          <w:shd w:val="clear" w:color="auto" w:fill="auto"/>
          <w:lang w:val="en-US" w:eastAsia="zh-CN" w:bidi="ar-SA"/>
          <w14:textFill>
            <w14:solidFill>
              <w14:schemeClr w14:val="tx1"/>
            </w14:solidFill>
          </w14:textFill>
        </w:rPr>
        <w:t>申诉双方不得做出不文明的行为，不得产生过激的动作和言语。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jc w:val="both"/>
        <w:textAlignment w:val="auto"/>
        <w:rPr>
          <w:rFonts w:hint="eastAsia" w:ascii="仿宋" w:hAnsi="仿宋" w:eastAsia="仿宋" w:cs="仿宋"/>
          <w:color w:val="000000" w:themeColor="text1"/>
          <w:spacing w:val="0"/>
          <w:w w:val="100"/>
          <w:kern w:val="0"/>
          <w:position w:val="0"/>
          <w:sz w:val="22"/>
          <w:szCs w:val="22"/>
          <w:u w:val="none"/>
          <w:shd w:val="clear" w:color="auto" w:fill="auto"/>
          <w:lang w:val="en-US" w:eastAsia="zh-CN" w:bidi="ar-SA"/>
          <w14:textFill>
            <w14:solidFill>
              <w14:schemeClr w14:val="tx1"/>
            </w14:solidFill>
          </w14:textFill>
        </w:rPr>
      </w:pPr>
      <w:r>
        <w:rPr>
          <w:rFonts w:hint="eastAsia" w:ascii="仿宋" w:hAnsi="仿宋" w:eastAsia="仿宋" w:cs="仿宋"/>
          <w:color w:val="000000" w:themeColor="text1"/>
          <w:spacing w:val="0"/>
          <w:w w:val="100"/>
          <w:kern w:val="0"/>
          <w:position w:val="0"/>
          <w:sz w:val="22"/>
          <w:szCs w:val="22"/>
          <w:u w:val="none"/>
          <w:shd w:val="clear" w:color="auto" w:fill="auto"/>
          <w:lang w:val="en-US" w:eastAsia="zh-CN" w:bidi="ar-SA"/>
          <w14:textFill>
            <w14:solidFill>
              <w14:schemeClr w14:val="tx1"/>
            </w14:solidFill>
          </w14:textFill>
        </w:rPr>
        <w:t>·首次警告，多次警告无效，将取消比赛资格。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000000" w:themeColor="text1"/>
          <w:sz w:val="24"/>
          <w:szCs w:val="24"/>
          <w:lang w:val="en-US" w:eastAsia="zh-CN"/>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7.4仲裁流程</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pPr>
      <w:r>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t>仲裁处理过程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jc w:val="both"/>
        <w:textAlignment w:val="auto"/>
        <w:rPr>
          <w:rFonts w:hint="eastAsia" w:ascii="仿宋" w:hAnsi="仿宋" w:eastAsia="仿宋" w:cs="仿宋"/>
          <w:color w:val="000000" w:themeColor="text1"/>
          <w:spacing w:val="0"/>
          <w:w w:val="100"/>
          <w:kern w:val="0"/>
          <w:position w:val="0"/>
          <w:sz w:val="22"/>
          <w:szCs w:val="22"/>
          <w:u w:val="none"/>
          <w:shd w:val="clear" w:color="auto" w:fill="auto"/>
          <w:lang w:val="en-US" w:eastAsia="zh-CN" w:bidi="ar-SA"/>
          <w14:textFill>
            <w14:solidFill>
              <w14:schemeClr w14:val="tx1"/>
            </w14:solidFill>
          </w14:textFill>
        </w:rPr>
      </w:pPr>
      <w:r>
        <w:rPr>
          <w:rFonts w:hint="eastAsia" w:ascii="仿宋" w:hAnsi="仿宋" w:eastAsia="仿宋" w:cs="仿宋"/>
          <w:color w:val="000000" w:themeColor="text1"/>
          <w:spacing w:val="0"/>
          <w:w w:val="100"/>
          <w:kern w:val="0"/>
          <w:position w:val="0"/>
          <w:sz w:val="22"/>
          <w:szCs w:val="22"/>
          <w:u w:val="none"/>
          <w:shd w:val="clear" w:color="auto" w:fill="auto"/>
          <w:lang w:val="en-US" w:eastAsia="zh-CN" w:bidi="ar-SA"/>
          <w14:textFill>
            <w14:solidFill>
              <w14:schemeClr w14:val="tx1"/>
            </w14:solidFill>
          </w14:textFill>
        </w:rPr>
        <w:t>仲裁委员会由裁判长、仲裁顾问、赛事技术负责人组成。仲裁委员会负责受理比赛中出现的申诉并进行仲裁调查，以保证大赛的顺利进行和大赛结果的公平、公正。任何比赛的回放录像、照片因可能存在因拍摄角度导致的不准确问题，仅作为仲裁委员会参考，不作为仲裁证据。</w:t>
      </w:r>
    </w:p>
    <w:p>
      <w:pPr>
        <w:keepNext w:val="0"/>
        <w:keepLines w:val="0"/>
        <w:widowControl w:val="0"/>
        <w:numPr>
          <w:ilvl w:val="0"/>
          <w:numId w:val="0"/>
        </w:numPr>
        <w:shd w:val="clear" w:color="auto" w:fill="auto"/>
        <w:bidi w:val="0"/>
        <w:spacing w:before="0" w:after="100" w:line="360" w:lineRule="auto"/>
        <w:ind w:left="0" w:right="0" w:firstLine="422" w:firstLineChars="200"/>
        <w:jc w:val="both"/>
        <w:rPr>
          <w:rFonts w:hint="eastAsia" w:ascii="黑体" w:hAnsi="黑体" w:eastAsia="黑体" w:cs="黑体"/>
          <w:b/>
          <w:bCs/>
          <w:color w:val="000000" w:themeColor="text1"/>
          <w:spacing w:val="0"/>
          <w:w w:val="100"/>
          <w:position w:val="0"/>
          <w:sz w:val="21"/>
          <w:szCs w:val="21"/>
          <w:u w:val="none"/>
          <w:shd w:val="clear" w:color="auto" w:fill="auto"/>
          <w:lang w:val="en-US" w:eastAsia="zh-CN" w:bidi="zh-TW"/>
          <w14:textFill>
            <w14:solidFill>
              <w14:schemeClr w14:val="tx1"/>
            </w14:solidFill>
          </w14:textFill>
        </w:rPr>
      </w:pPr>
      <w:r>
        <w:rPr>
          <w:rFonts w:hint="eastAsia" w:ascii="黑体" w:hAnsi="黑体" w:eastAsia="黑体" w:cs="黑体"/>
          <w:b/>
          <w:bCs/>
          <w:color w:val="000000" w:themeColor="text1"/>
          <w:spacing w:val="0"/>
          <w:w w:val="100"/>
          <w:kern w:val="2"/>
          <w:position w:val="0"/>
          <w:sz w:val="21"/>
          <w:szCs w:val="21"/>
          <w:u w:val="none"/>
          <w:shd w:val="clear" w:color="auto" w:fill="auto"/>
          <w:lang w:val="en-US" w:eastAsia="zh-CN" w:bidi="zh-TW"/>
          <w14:textFill>
            <w14:solidFill>
              <w14:schemeClr w14:val="tx1"/>
            </w14:solidFill>
          </w14:textFill>
        </w:rPr>
        <w:t>仲</w:t>
      </w:r>
      <w:r>
        <w:rPr>
          <w:rFonts w:hint="eastAsia" w:ascii="黑体" w:hAnsi="黑体" w:eastAsia="黑体" w:cs="黑体"/>
          <w:b/>
          <w:bCs/>
          <w:color w:val="000000" w:themeColor="text1"/>
          <w:spacing w:val="0"/>
          <w:w w:val="100"/>
          <w:position w:val="0"/>
          <w:sz w:val="21"/>
          <w:szCs w:val="21"/>
          <w:u w:val="none"/>
          <w:shd w:val="clear" w:color="auto" w:fill="auto"/>
          <w:lang w:val="en-US" w:eastAsia="zh-CN" w:bidi="zh-TW"/>
          <w14:textFill>
            <w14:solidFill>
              <w14:schemeClr w14:val="tx1"/>
            </w14:solidFill>
          </w14:textFill>
        </w:rPr>
        <w:t>裁处理结果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jc w:val="both"/>
        <w:textAlignment w:val="auto"/>
        <w:rPr>
          <w:rFonts w:hint="eastAsia" w:ascii="仿宋" w:hAnsi="仿宋" w:eastAsia="仿宋" w:cs="仿宋"/>
          <w:color w:val="000000" w:themeColor="text1"/>
          <w:spacing w:val="0"/>
          <w:w w:val="100"/>
          <w:kern w:val="0"/>
          <w:position w:val="0"/>
          <w:sz w:val="22"/>
          <w:szCs w:val="22"/>
          <w:u w:val="none"/>
          <w:shd w:val="clear" w:color="auto" w:fill="auto"/>
          <w:lang w:val="en-US" w:eastAsia="zh-CN" w:bidi="ar-SA"/>
          <w14:textFill>
            <w14:solidFill>
              <w14:schemeClr w14:val="tx1"/>
            </w14:solidFill>
          </w14:textFill>
        </w:rPr>
      </w:pPr>
      <w:r>
        <w:rPr>
          <w:rFonts w:hint="eastAsia" w:ascii="仿宋" w:hAnsi="仿宋" w:eastAsia="仿宋" w:cs="仿宋"/>
          <w:color w:val="000000" w:themeColor="text1"/>
          <w:spacing w:val="0"/>
          <w:w w:val="100"/>
          <w:kern w:val="0"/>
          <w:position w:val="0"/>
          <w:sz w:val="22"/>
          <w:szCs w:val="22"/>
          <w:u w:val="none"/>
          <w:shd w:val="clear" w:color="auto" w:fill="auto"/>
          <w:lang w:val="en-US" w:eastAsia="zh-CN" w:bidi="ar-SA"/>
          <w14:textFill>
            <w14:solidFill>
              <w14:schemeClr w14:val="tx1"/>
            </w14:solidFill>
          </w14:textFill>
        </w:rPr>
        <w:t>仲裁结果分为“维持原本比赛成绩”和“重赛”两种，不可以再次申诉。如若仲裁结果为“重赛”，需按照申诉单规定的时间场次进行重赛，规定时间5分钟内未到达场地进行比赛，视为放弃比赛。</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pPr>
      <w:r>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t>仲裁处理补充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jc w:val="both"/>
        <w:textAlignment w:val="auto"/>
        <w:rPr>
          <w:rFonts w:hint="eastAsia" w:ascii="仿宋" w:hAnsi="仿宋" w:eastAsia="仿宋" w:cs="仿宋"/>
          <w:color w:val="000000" w:themeColor="text1"/>
          <w:spacing w:val="0"/>
          <w:w w:val="100"/>
          <w:kern w:val="0"/>
          <w:position w:val="0"/>
          <w:sz w:val="22"/>
          <w:szCs w:val="22"/>
          <w:u w:val="none"/>
          <w:shd w:val="clear" w:color="auto" w:fill="auto"/>
          <w:lang w:val="en-US" w:eastAsia="zh-CN" w:bidi="ar-SA"/>
          <w14:textFill>
            <w14:solidFill>
              <w14:schemeClr w14:val="tx1"/>
            </w14:solidFill>
          </w14:textFill>
        </w:rPr>
      </w:pPr>
      <w:r>
        <w:rPr>
          <w:rFonts w:hint="eastAsia" w:ascii="仿宋" w:hAnsi="仿宋" w:eastAsia="仿宋" w:cs="仿宋"/>
          <w:color w:val="000000" w:themeColor="text1"/>
          <w:spacing w:val="0"/>
          <w:w w:val="100"/>
          <w:kern w:val="0"/>
          <w:position w:val="0"/>
          <w:sz w:val="22"/>
          <w:szCs w:val="22"/>
          <w:u w:val="none"/>
          <w:shd w:val="clear" w:color="auto" w:fill="auto"/>
          <w:lang w:val="en-US" w:eastAsia="zh-CN" w:bidi="ar-SA"/>
          <w14:textFill>
            <w14:solidFill>
              <w14:schemeClr w14:val="tx1"/>
            </w14:solidFill>
          </w14:textFill>
        </w:rPr>
        <w:t>仲裁委员会给出最终仲裁结果后，双方均不能再对申诉结果产生异议。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jc w:val="both"/>
        <w:textAlignment w:val="auto"/>
        <w:rPr>
          <w:rFonts w:hint="eastAsia" w:ascii="仿宋" w:hAnsi="仿宋" w:eastAsia="仿宋" w:cs="仿宋"/>
          <w:color w:val="000000" w:themeColor="text1"/>
          <w:spacing w:val="0"/>
          <w:w w:val="100"/>
          <w:kern w:val="0"/>
          <w:position w:val="0"/>
          <w:sz w:val="22"/>
          <w:szCs w:val="22"/>
          <w:u w:val="none"/>
          <w:shd w:val="clear" w:color="auto" w:fill="auto"/>
          <w:lang w:val="en-US" w:eastAsia="zh-CN" w:bidi="ar-SA"/>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黑体" w:hAnsi="黑体" w:eastAsia="黑体" w:cs="黑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黑体" w:hAnsi="黑体" w:eastAsia="黑体" w:cs="黑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黑体" w:hAnsi="黑体" w:eastAsia="黑体" w:cs="黑体"/>
          <w:sz w:val="28"/>
          <w:szCs w:val="28"/>
          <w:lang w:val="en-US" w:eastAsia="zh-CN"/>
        </w:rPr>
      </w:pPr>
      <w:bookmarkStart w:id="3" w:name="_GoBack"/>
      <w:bookmarkEnd w:id="3"/>
    </w:p>
    <w:sectPr>
      <w:footerReference r:id="rId3" w:type="default"/>
      <w:pgSz w:w="11906" w:h="16838"/>
      <w:pgMar w:top="1417" w:right="1576" w:bottom="1417" w:left="1576" w:header="851" w:footer="992" w:gutter="0"/>
      <w:pgNumType w:fmt="decimal" w:start="7"/>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思源黑体 CN Regular">
    <w:altName w:val="黑体"/>
    <w:panose1 w:val="020B0500000000000000"/>
    <w:charset w:val="86"/>
    <w:family w:val="swiss"/>
    <w:pitch w:val="default"/>
    <w:sig w:usb0="00000000" w:usb1="00000000" w:usb2="00000016" w:usb3="00000000" w:csb0="60060107"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思源黑体 CN Heavy">
    <w:altName w:val="黑体"/>
    <w:panose1 w:val="020B0A00000000000000"/>
    <w:charset w:val="86"/>
    <w:family w:val="swiss"/>
    <w:pitch w:val="default"/>
    <w:sig w:usb0="00000000" w:usb1="00000000" w:usb2="00000016" w:usb3="00000000" w:csb0="0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v:shape>
          </w:pict>
        </mc:Fallback>
      </mc:AlternateContent>
    </w:r>
  </w:p>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546CD4"/>
    <w:multiLevelType w:val="singleLevel"/>
    <w:tmpl w:val="02546CD4"/>
    <w:lvl w:ilvl="0" w:tentative="0">
      <w:start w:val="1"/>
      <w:numFmt w:val="decimal"/>
      <w:lvlText w:val="(%1)"/>
      <w:lvlJc w:val="left"/>
      <w:pPr>
        <w:tabs>
          <w:tab w:val="left" w:pos="312"/>
        </w:tabs>
      </w:pPr>
    </w:lvl>
  </w:abstractNum>
  <w:abstractNum w:abstractNumId="1">
    <w:nsid w:val="05BF319E"/>
    <w:multiLevelType w:val="multilevel"/>
    <w:tmpl w:val="05BF319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14ED7933"/>
    <w:multiLevelType w:val="multilevel"/>
    <w:tmpl w:val="14ED7933"/>
    <w:lvl w:ilvl="0" w:tentative="0">
      <w:start w:val="1"/>
      <w:numFmt w:val="decimalZero"/>
      <w:pStyle w:val="21"/>
      <w:lvlText w:val="R%1. "/>
      <w:lvlJc w:val="left"/>
      <w:pPr>
        <w:ind w:left="1213" w:hanging="362"/>
      </w:pPr>
      <w:rPr>
        <w:rFonts w:hint="eastAsia" w:ascii="Times New Roman" w:hAnsi="Times New Roman" w:cs="Times New Roman"/>
        <w:b/>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lowerLetter"/>
      <w:lvlText w:val="%2."/>
      <w:lvlJc w:val="left"/>
      <w:pPr>
        <w:ind w:left="1440" w:hanging="362"/>
      </w:pPr>
      <w:rPr>
        <w:rFonts w:hint="eastAsia"/>
      </w:rPr>
    </w:lvl>
    <w:lvl w:ilvl="2" w:tentative="0">
      <w:start w:val="1"/>
      <w:numFmt w:val="lowerRoman"/>
      <w:lvlText w:val="%3."/>
      <w:lvlJc w:val="right"/>
      <w:pPr>
        <w:ind w:left="1667" w:hanging="362"/>
      </w:pPr>
      <w:rPr>
        <w:rFonts w:hint="eastAsia"/>
      </w:rPr>
    </w:lvl>
    <w:lvl w:ilvl="3" w:tentative="0">
      <w:start w:val="1"/>
      <w:numFmt w:val="decimal"/>
      <w:lvlText w:val="%4."/>
      <w:lvlJc w:val="left"/>
      <w:pPr>
        <w:ind w:left="1894" w:hanging="362"/>
      </w:pPr>
      <w:rPr>
        <w:rFonts w:hint="eastAsia"/>
      </w:rPr>
    </w:lvl>
    <w:lvl w:ilvl="4" w:tentative="0">
      <w:start w:val="1"/>
      <w:numFmt w:val="lowerLetter"/>
      <w:lvlText w:val="%5."/>
      <w:lvlJc w:val="left"/>
      <w:pPr>
        <w:ind w:left="2121" w:hanging="362"/>
      </w:pPr>
      <w:rPr>
        <w:rFonts w:hint="eastAsia"/>
      </w:rPr>
    </w:lvl>
    <w:lvl w:ilvl="5" w:tentative="0">
      <w:start w:val="1"/>
      <w:numFmt w:val="lowerRoman"/>
      <w:lvlText w:val="%6."/>
      <w:lvlJc w:val="right"/>
      <w:pPr>
        <w:ind w:left="2348" w:hanging="362"/>
      </w:pPr>
      <w:rPr>
        <w:rFonts w:hint="eastAsia"/>
      </w:rPr>
    </w:lvl>
    <w:lvl w:ilvl="6" w:tentative="0">
      <w:start w:val="1"/>
      <w:numFmt w:val="decimal"/>
      <w:lvlText w:val="%7."/>
      <w:lvlJc w:val="left"/>
      <w:pPr>
        <w:ind w:left="2575" w:hanging="362"/>
      </w:pPr>
      <w:rPr>
        <w:rFonts w:hint="eastAsia"/>
      </w:rPr>
    </w:lvl>
    <w:lvl w:ilvl="7" w:tentative="0">
      <w:start w:val="1"/>
      <w:numFmt w:val="lowerLetter"/>
      <w:lvlText w:val="%8."/>
      <w:lvlJc w:val="left"/>
      <w:pPr>
        <w:ind w:left="2802" w:hanging="362"/>
      </w:pPr>
      <w:rPr>
        <w:rFonts w:hint="eastAsia"/>
      </w:rPr>
    </w:lvl>
    <w:lvl w:ilvl="8" w:tentative="0">
      <w:start w:val="1"/>
      <w:numFmt w:val="lowerRoman"/>
      <w:lvlText w:val="%9."/>
      <w:lvlJc w:val="right"/>
      <w:pPr>
        <w:ind w:left="3029" w:hanging="362"/>
      </w:pPr>
      <w:rPr>
        <w:rFonts w:hint="eastAsia"/>
      </w:rPr>
    </w:lvl>
  </w:abstractNum>
  <w:abstractNum w:abstractNumId="3">
    <w:nsid w:val="3EA7446E"/>
    <w:multiLevelType w:val="multilevel"/>
    <w:tmpl w:val="3EA7446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B7EBC4D"/>
    <w:multiLevelType w:val="singleLevel"/>
    <w:tmpl w:val="5B7EBC4D"/>
    <w:lvl w:ilvl="0" w:tentative="0">
      <w:start w:val="1"/>
      <w:numFmt w:val="chineseCounting"/>
      <w:suff w:val="nothing"/>
      <w:lvlText w:val="%1、"/>
      <w:lvlJc w:val="left"/>
      <w:rPr>
        <w:rFonts w:hint="eastAsia"/>
      </w:rPr>
    </w:lvl>
  </w:abstractNum>
  <w:abstractNum w:abstractNumId="5">
    <w:nsid w:val="640E3978"/>
    <w:multiLevelType w:val="multilevel"/>
    <w:tmpl w:val="640E3978"/>
    <w:lvl w:ilvl="0" w:tentative="0">
      <w:start w:val="1"/>
      <w:numFmt w:val="decimalZero"/>
      <w:pStyle w:val="20"/>
      <w:lvlText w:val="R%1. "/>
      <w:lvlJc w:val="left"/>
      <w:pPr>
        <w:ind w:left="1213" w:hanging="362"/>
      </w:pPr>
      <w:rPr>
        <w:rFonts w:hint="eastAsia"/>
        <w:b/>
        <w:bCs w:val="0"/>
        <w:i w:val="0"/>
        <w:iCs w:val="0"/>
        <w:caps w:val="0"/>
        <w:smallCaps w:val="0"/>
        <w:strike w:val="0"/>
        <w:dstrike w:val="0"/>
        <w:vanish w:val="0"/>
        <w:spacing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lowerLetter"/>
      <w:lvlText w:val="%2)"/>
      <w:lvlJc w:val="left"/>
      <w:pPr>
        <w:ind w:left="1691" w:hanging="420"/>
      </w:pPr>
      <w:rPr>
        <w:rFonts w:hint="eastAsia"/>
      </w:rPr>
    </w:lvl>
    <w:lvl w:ilvl="2" w:tentative="0">
      <w:start w:val="1"/>
      <w:numFmt w:val="lowerRoman"/>
      <w:lvlText w:val="%3."/>
      <w:lvlJc w:val="right"/>
      <w:pPr>
        <w:ind w:left="2111" w:hanging="420"/>
      </w:pPr>
      <w:rPr>
        <w:rFonts w:hint="eastAsia"/>
      </w:rPr>
    </w:lvl>
    <w:lvl w:ilvl="3" w:tentative="0">
      <w:start w:val="1"/>
      <w:numFmt w:val="decimal"/>
      <w:lvlText w:val="%4."/>
      <w:lvlJc w:val="left"/>
      <w:pPr>
        <w:ind w:left="2531" w:hanging="420"/>
      </w:pPr>
      <w:rPr>
        <w:rFonts w:hint="eastAsia"/>
      </w:rPr>
    </w:lvl>
    <w:lvl w:ilvl="4" w:tentative="0">
      <w:start w:val="1"/>
      <w:numFmt w:val="lowerLetter"/>
      <w:lvlText w:val="%5)"/>
      <w:lvlJc w:val="left"/>
      <w:pPr>
        <w:ind w:left="2951" w:hanging="420"/>
      </w:pPr>
      <w:rPr>
        <w:rFonts w:hint="eastAsia"/>
      </w:rPr>
    </w:lvl>
    <w:lvl w:ilvl="5" w:tentative="0">
      <w:start w:val="1"/>
      <w:numFmt w:val="lowerRoman"/>
      <w:lvlText w:val="%6."/>
      <w:lvlJc w:val="right"/>
      <w:pPr>
        <w:ind w:left="3371" w:hanging="420"/>
      </w:pPr>
      <w:rPr>
        <w:rFonts w:hint="eastAsia"/>
      </w:rPr>
    </w:lvl>
    <w:lvl w:ilvl="6" w:tentative="0">
      <w:start w:val="1"/>
      <w:numFmt w:val="decimal"/>
      <w:lvlText w:val="%7."/>
      <w:lvlJc w:val="left"/>
      <w:pPr>
        <w:ind w:left="3791" w:hanging="420"/>
      </w:pPr>
      <w:rPr>
        <w:rFonts w:hint="eastAsia"/>
      </w:rPr>
    </w:lvl>
    <w:lvl w:ilvl="7" w:tentative="0">
      <w:start w:val="1"/>
      <w:numFmt w:val="lowerLetter"/>
      <w:lvlText w:val="%8)"/>
      <w:lvlJc w:val="left"/>
      <w:pPr>
        <w:ind w:left="4211" w:hanging="420"/>
      </w:pPr>
      <w:rPr>
        <w:rFonts w:hint="eastAsia"/>
      </w:rPr>
    </w:lvl>
    <w:lvl w:ilvl="8" w:tentative="0">
      <w:start w:val="1"/>
      <w:numFmt w:val="lowerRoman"/>
      <w:lvlText w:val="%9."/>
      <w:lvlJc w:val="right"/>
      <w:pPr>
        <w:ind w:left="4631" w:hanging="420"/>
      </w:pPr>
      <w:rPr>
        <w:rFonts w:hint="eastAsia"/>
      </w:rPr>
    </w:lvl>
  </w:abstractNum>
  <w:abstractNum w:abstractNumId="6">
    <w:nsid w:val="7B164970"/>
    <w:multiLevelType w:val="multilevel"/>
    <w:tmpl w:val="7B164970"/>
    <w:lvl w:ilvl="0" w:tentative="0">
      <w:start w:val="1"/>
      <w:numFmt w:val="decimalZero"/>
      <w:pStyle w:val="22"/>
      <w:lvlText w:val="T%1. "/>
      <w:lvlJc w:val="left"/>
      <w:pPr>
        <w:ind w:left="1211" w:hanging="360"/>
      </w:pPr>
      <w:rPr>
        <w:rFonts w:hint="eastAsia" w:ascii="思源黑体 CN Regular" w:hAnsi="思源黑体 CN Regular"/>
        <w:b/>
        <w:bCs w:val="0"/>
        <w:i w:val="0"/>
        <w:iCs w:val="0"/>
        <w:caps w:val="0"/>
        <w:smallCaps w:val="0"/>
        <w:strike w:val="0"/>
        <w:dstrike w:val="0"/>
        <w:vanish w:val="0"/>
        <w:color w:val="auto"/>
        <w:spacing w:val="0"/>
        <w:position w:val="0"/>
        <w:sz w:val="24"/>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2280" w:hanging="360"/>
      </w:pPr>
    </w:lvl>
    <w:lvl w:ilvl="2" w:tentative="0">
      <w:start w:val="1"/>
      <w:numFmt w:val="lowerRoman"/>
      <w:lvlText w:val="%3."/>
      <w:lvlJc w:val="right"/>
      <w:pPr>
        <w:ind w:left="3000" w:hanging="180"/>
      </w:pPr>
    </w:lvl>
    <w:lvl w:ilvl="3" w:tentative="0">
      <w:start w:val="1"/>
      <w:numFmt w:val="decimal"/>
      <w:lvlText w:val="%4."/>
      <w:lvlJc w:val="left"/>
      <w:pPr>
        <w:ind w:left="3720" w:hanging="360"/>
      </w:pPr>
    </w:lvl>
    <w:lvl w:ilvl="4" w:tentative="0">
      <w:start w:val="1"/>
      <w:numFmt w:val="lowerLetter"/>
      <w:lvlText w:val="%5."/>
      <w:lvlJc w:val="left"/>
      <w:pPr>
        <w:ind w:left="4440" w:hanging="360"/>
      </w:pPr>
    </w:lvl>
    <w:lvl w:ilvl="5" w:tentative="0">
      <w:start w:val="1"/>
      <w:numFmt w:val="lowerRoman"/>
      <w:lvlText w:val="%6."/>
      <w:lvlJc w:val="right"/>
      <w:pPr>
        <w:ind w:left="5160" w:hanging="180"/>
      </w:pPr>
    </w:lvl>
    <w:lvl w:ilvl="6" w:tentative="0">
      <w:start w:val="1"/>
      <w:numFmt w:val="decimal"/>
      <w:lvlText w:val="%7."/>
      <w:lvlJc w:val="left"/>
      <w:pPr>
        <w:ind w:left="5880" w:hanging="360"/>
      </w:pPr>
    </w:lvl>
    <w:lvl w:ilvl="7" w:tentative="0">
      <w:start w:val="1"/>
      <w:numFmt w:val="lowerLetter"/>
      <w:lvlText w:val="%8."/>
      <w:lvlJc w:val="left"/>
      <w:pPr>
        <w:ind w:left="6600" w:hanging="360"/>
      </w:pPr>
    </w:lvl>
    <w:lvl w:ilvl="8" w:tentative="0">
      <w:start w:val="1"/>
      <w:numFmt w:val="lowerRoman"/>
      <w:lvlText w:val="%9."/>
      <w:lvlJc w:val="right"/>
      <w:pPr>
        <w:ind w:left="7320" w:hanging="180"/>
      </w:pPr>
    </w:lvl>
  </w:abstractNum>
  <w:abstractNum w:abstractNumId="7">
    <w:nsid w:val="7BA24B9C"/>
    <w:multiLevelType w:val="multilevel"/>
    <w:tmpl w:val="7BA24B9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5"/>
  </w:num>
  <w:num w:numId="2">
    <w:abstractNumId w:val="2"/>
  </w:num>
  <w:num w:numId="3">
    <w:abstractNumId w:val="6"/>
  </w:num>
  <w:num w:numId="4">
    <w:abstractNumId w:val="4"/>
  </w:num>
  <w:num w:numId="5">
    <w:abstractNumId w:val="3"/>
  </w:num>
  <w:num w:numId="6">
    <w:abstractNumId w:val="1"/>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jY2IxY2ZjN2UxNjI4OGIwNDM5ZTc0NDEwZWY3OGYifQ=="/>
  </w:docVars>
  <w:rsids>
    <w:rsidRoot w:val="3F571B2E"/>
    <w:rsid w:val="000D23C7"/>
    <w:rsid w:val="00125861"/>
    <w:rsid w:val="00134A85"/>
    <w:rsid w:val="0020060D"/>
    <w:rsid w:val="00384B9C"/>
    <w:rsid w:val="00496F82"/>
    <w:rsid w:val="006161FE"/>
    <w:rsid w:val="007402CA"/>
    <w:rsid w:val="007A51B4"/>
    <w:rsid w:val="00885B23"/>
    <w:rsid w:val="00AE4E5E"/>
    <w:rsid w:val="00D30581"/>
    <w:rsid w:val="00F66F31"/>
    <w:rsid w:val="00FE4037"/>
    <w:rsid w:val="010A6538"/>
    <w:rsid w:val="010B22B0"/>
    <w:rsid w:val="011B6AD7"/>
    <w:rsid w:val="011E3D92"/>
    <w:rsid w:val="01341807"/>
    <w:rsid w:val="013B3A7E"/>
    <w:rsid w:val="015E37B5"/>
    <w:rsid w:val="016519C1"/>
    <w:rsid w:val="01687703"/>
    <w:rsid w:val="017B7436"/>
    <w:rsid w:val="0180264A"/>
    <w:rsid w:val="01802C9E"/>
    <w:rsid w:val="019E75D4"/>
    <w:rsid w:val="01AA1AC9"/>
    <w:rsid w:val="01B42948"/>
    <w:rsid w:val="01B70882"/>
    <w:rsid w:val="01EC0334"/>
    <w:rsid w:val="01F126CF"/>
    <w:rsid w:val="020967F0"/>
    <w:rsid w:val="023F4ABB"/>
    <w:rsid w:val="023F5693"/>
    <w:rsid w:val="02671768"/>
    <w:rsid w:val="0293255D"/>
    <w:rsid w:val="02B524D4"/>
    <w:rsid w:val="02CD3CC1"/>
    <w:rsid w:val="02D92666"/>
    <w:rsid w:val="0302774B"/>
    <w:rsid w:val="03165668"/>
    <w:rsid w:val="033E071B"/>
    <w:rsid w:val="03595555"/>
    <w:rsid w:val="03636ED2"/>
    <w:rsid w:val="037E6D6A"/>
    <w:rsid w:val="03802AE2"/>
    <w:rsid w:val="03885E3A"/>
    <w:rsid w:val="03AA5DB1"/>
    <w:rsid w:val="03E312C3"/>
    <w:rsid w:val="03F82FC0"/>
    <w:rsid w:val="04194CE4"/>
    <w:rsid w:val="041F679F"/>
    <w:rsid w:val="04671EF4"/>
    <w:rsid w:val="04695C6C"/>
    <w:rsid w:val="046C3066"/>
    <w:rsid w:val="04812FB5"/>
    <w:rsid w:val="048F6CC6"/>
    <w:rsid w:val="04932CE9"/>
    <w:rsid w:val="04AC5B58"/>
    <w:rsid w:val="04B62533"/>
    <w:rsid w:val="04D70E27"/>
    <w:rsid w:val="050820EB"/>
    <w:rsid w:val="052B2F21"/>
    <w:rsid w:val="05432019"/>
    <w:rsid w:val="05594EA2"/>
    <w:rsid w:val="057A6086"/>
    <w:rsid w:val="0580501B"/>
    <w:rsid w:val="05997E8B"/>
    <w:rsid w:val="06514B7E"/>
    <w:rsid w:val="06620BC5"/>
    <w:rsid w:val="0667442D"/>
    <w:rsid w:val="06B80F28"/>
    <w:rsid w:val="07283BBC"/>
    <w:rsid w:val="0730192B"/>
    <w:rsid w:val="075524D7"/>
    <w:rsid w:val="076D32D1"/>
    <w:rsid w:val="07E727CE"/>
    <w:rsid w:val="07F13FAE"/>
    <w:rsid w:val="07F67816"/>
    <w:rsid w:val="081B2F5F"/>
    <w:rsid w:val="082500FC"/>
    <w:rsid w:val="08634780"/>
    <w:rsid w:val="087F5A5E"/>
    <w:rsid w:val="088968DD"/>
    <w:rsid w:val="088E7A4F"/>
    <w:rsid w:val="08A234FA"/>
    <w:rsid w:val="08CB2A51"/>
    <w:rsid w:val="08FF094D"/>
    <w:rsid w:val="0908014B"/>
    <w:rsid w:val="09104908"/>
    <w:rsid w:val="09265ED9"/>
    <w:rsid w:val="093700E7"/>
    <w:rsid w:val="09410F65"/>
    <w:rsid w:val="096E5D75"/>
    <w:rsid w:val="09840E52"/>
    <w:rsid w:val="09B434E5"/>
    <w:rsid w:val="0A2166A1"/>
    <w:rsid w:val="0A430D0D"/>
    <w:rsid w:val="0A456833"/>
    <w:rsid w:val="0A5B1BB3"/>
    <w:rsid w:val="0A876E4C"/>
    <w:rsid w:val="0A9357F1"/>
    <w:rsid w:val="0AAB0D8C"/>
    <w:rsid w:val="0AAF206C"/>
    <w:rsid w:val="0ABD0ABF"/>
    <w:rsid w:val="0AD447D1"/>
    <w:rsid w:val="0B352404"/>
    <w:rsid w:val="0B512FB6"/>
    <w:rsid w:val="0B62538F"/>
    <w:rsid w:val="0BA13F3D"/>
    <w:rsid w:val="0BBE4AEF"/>
    <w:rsid w:val="0BDA2FAB"/>
    <w:rsid w:val="0C14470F"/>
    <w:rsid w:val="0C191D25"/>
    <w:rsid w:val="0C37664F"/>
    <w:rsid w:val="0C3E353A"/>
    <w:rsid w:val="0C434FF4"/>
    <w:rsid w:val="0C692CAD"/>
    <w:rsid w:val="0C922B21"/>
    <w:rsid w:val="0C9E047D"/>
    <w:rsid w:val="0CAC0DEC"/>
    <w:rsid w:val="0CB67574"/>
    <w:rsid w:val="0D070F57"/>
    <w:rsid w:val="0D2F60F5"/>
    <w:rsid w:val="0D314E4D"/>
    <w:rsid w:val="0D383254"/>
    <w:rsid w:val="0D49488C"/>
    <w:rsid w:val="0D4A5F0F"/>
    <w:rsid w:val="0D4B4161"/>
    <w:rsid w:val="0D5648B3"/>
    <w:rsid w:val="0D5D20E6"/>
    <w:rsid w:val="0D722221"/>
    <w:rsid w:val="0D8458C4"/>
    <w:rsid w:val="0D99416A"/>
    <w:rsid w:val="0D9D24E2"/>
    <w:rsid w:val="0DB5782C"/>
    <w:rsid w:val="0DC67C8B"/>
    <w:rsid w:val="0DDC74AE"/>
    <w:rsid w:val="0DED16BC"/>
    <w:rsid w:val="0DF02F5A"/>
    <w:rsid w:val="0E0535BB"/>
    <w:rsid w:val="0E074148"/>
    <w:rsid w:val="0E3941BA"/>
    <w:rsid w:val="0E4D1CC2"/>
    <w:rsid w:val="0E4D3F08"/>
    <w:rsid w:val="0E4F1A2E"/>
    <w:rsid w:val="0E547045"/>
    <w:rsid w:val="0E7616B1"/>
    <w:rsid w:val="0E7C112B"/>
    <w:rsid w:val="0E9438E5"/>
    <w:rsid w:val="0EC25BA0"/>
    <w:rsid w:val="0ECF0DC1"/>
    <w:rsid w:val="0F144A26"/>
    <w:rsid w:val="0F5B4403"/>
    <w:rsid w:val="0F6E4136"/>
    <w:rsid w:val="0F815BCA"/>
    <w:rsid w:val="0FA17337"/>
    <w:rsid w:val="0FAA0FBA"/>
    <w:rsid w:val="0FD61CDB"/>
    <w:rsid w:val="0FE34B24"/>
    <w:rsid w:val="0FF81034"/>
    <w:rsid w:val="10014FAA"/>
    <w:rsid w:val="10154B10"/>
    <w:rsid w:val="103F20BF"/>
    <w:rsid w:val="1041184B"/>
    <w:rsid w:val="104F3F68"/>
    <w:rsid w:val="10611EED"/>
    <w:rsid w:val="1064458A"/>
    <w:rsid w:val="10727C56"/>
    <w:rsid w:val="10736777"/>
    <w:rsid w:val="107C0AD5"/>
    <w:rsid w:val="107C2883"/>
    <w:rsid w:val="109610D4"/>
    <w:rsid w:val="109776BD"/>
    <w:rsid w:val="10C6128D"/>
    <w:rsid w:val="10D80401"/>
    <w:rsid w:val="110C3C07"/>
    <w:rsid w:val="111451B1"/>
    <w:rsid w:val="11691059"/>
    <w:rsid w:val="116A4DD1"/>
    <w:rsid w:val="11AB78C4"/>
    <w:rsid w:val="11BA7A3C"/>
    <w:rsid w:val="11E626AA"/>
    <w:rsid w:val="122B4561"/>
    <w:rsid w:val="1255782F"/>
    <w:rsid w:val="125E66E4"/>
    <w:rsid w:val="12704669"/>
    <w:rsid w:val="12A85BB1"/>
    <w:rsid w:val="12B66520"/>
    <w:rsid w:val="12B96010"/>
    <w:rsid w:val="12C86432"/>
    <w:rsid w:val="12D6271E"/>
    <w:rsid w:val="12E14FD7"/>
    <w:rsid w:val="13135720"/>
    <w:rsid w:val="131C4EDF"/>
    <w:rsid w:val="137B2CA1"/>
    <w:rsid w:val="139A4DD4"/>
    <w:rsid w:val="13AC7923"/>
    <w:rsid w:val="13C41889"/>
    <w:rsid w:val="13D9039D"/>
    <w:rsid w:val="13EE1CEA"/>
    <w:rsid w:val="13F6078F"/>
    <w:rsid w:val="14107EB2"/>
    <w:rsid w:val="1457163D"/>
    <w:rsid w:val="14601DB2"/>
    <w:rsid w:val="1481490C"/>
    <w:rsid w:val="14AD65CB"/>
    <w:rsid w:val="14AF76CB"/>
    <w:rsid w:val="14D07641"/>
    <w:rsid w:val="14DC7D94"/>
    <w:rsid w:val="151D2886"/>
    <w:rsid w:val="152005D7"/>
    <w:rsid w:val="154F67B8"/>
    <w:rsid w:val="15A765F4"/>
    <w:rsid w:val="15AE7982"/>
    <w:rsid w:val="15E27F5A"/>
    <w:rsid w:val="15F07F9B"/>
    <w:rsid w:val="163B59D5"/>
    <w:rsid w:val="16AA1AC9"/>
    <w:rsid w:val="16AB2114"/>
    <w:rsid w:val="17081314"/>
    <w:rsid w:val="171E4694"/>
    <w:rsid w:val="17215F32"/>
    <w:rsid w:val="172D0894"/>
    <w:rsid w:val="17355807"/>
    <w:rsid w:val="17377504"/>
    <w:rsid w:val="17454C73"/>
    <w:rsid w:val="17647DFE"/>
    <w:rsid w:val="17680A1E"/>
    <w:rsid w:val="176D2CE6"/>
    <w:rsid w:val="17A50C08"/>
    <w:rsid w:val="17B62978"/>
    <w:rsid w:val="17DB4333"/>
    <w:rsid w:val="17DE3E23"/>
    <w:rsid w:val="17DF23C2"/>
    <w:rsid w:val="17E4768B"/>
    <w:rsid w:val="17E92EF4"/>
    <w:rsid w:val="187F5606"/>
    <w:rsid w:val="189664AC"/>
    <w:rsid w:val="18A16F02"/>
    <w:rsid w:val="18BD7EDC"/>
    <w:rsid w:val="18F97167"/>
    <w:rsid w:val="19121FD6"/>
    <w:rsid w:val="191A0E95"/>
    <w:rsid w:val="191A70DD"/>
    <w:rsid w:val="19516FA3"/>
    <w:rsid w:val="197902A7"/>
    <w:rsid w:val="1982563E"/>
    <w:rsid w:val="19835FF4"/>
    <w:rsid w:val="19923117"/>
    <w:rsid w:val="19A05834"/>
    <w:rsid w:val="19C37774"/>
    <w:rsid w:val="19D84FCE"/>
    <w:rsid w:val="19EA6AAF"/>
    <w:rsid w:val="1A197394"/>
    <w:rsid w:val="1A584361"/>
    <w:rsid w:val="1A5A1E87"/>
    <w:rsid w:val="1A5E7EF8"/>
    <w:rsid w:val="1AB3668B"/>
    <w:rsid w:val="1AD27C6F"/>
    <w:rsid w:val="1AE654C9"/>
    <w:rsid w:val="1AF220BF"/>
    <w:rsid w:val="1AF80C4E"/>
    <w:rsid w:val="1B065B6B"/>
    <w:rsid w:val="1B2912F6"/>
    <w:rsid w:val="1B634D6B"/>
    <w:rsid w:val="1B8F790E"/>
    <w:rsid w:val="1BAC514D"/>
    <w:rsid w:val="1BB13D28"/>
    <w:rsid w:val="1BB94A29"/>
    <w:rsid w:val="1BEC2FB3"/>
    <w:rsid w:val="1C590F97"/>
    <w:rsid w:val="1C9A2A0F"/>
    <w:rsid w:val="1CAC2742"/>
    <w:rsid w:val="1CE170EC"/>
    <w:rsid w:val="1CE7377A"/>
    <w:rsid w:val="1CE83979"/>
    <w:rsid w:val="1CF71C0F"/>
    <w:rsid w:val="1CFF6D16"/>
    <w:rsid w:val="1D17405F"/>
    <w:rsid w:val="1D2B18B9"/>
    <w:rsid w:val="1D547061"/>
    <w:rsid w:val="1D61177E"/>
    <w:rsid w:val="1D626E38"/>
    <w:rsid w:val="1D632E00"/>
    <w:rsid w:val="1D74500E"/>
    <w:rsid w:val="1D756FD8"/>
    <w:rsid w:val="1D7B2840"/>
    <w:rsid w:val="1D81772B"/>
    <w:rsid w:val="1D9E652E"/>
    <w:rsid w:val="1DA4768C"/>
    <w:rsid w:val="1DA90A2F"/>
    <w:rsid w:val="1DB418AE"/>
    <w:rsid w:val="1DBF0627"/>
    <w:rsid w:val="1DC064A5"/>
    <w:rsid w:val="1DD957B9"/>
    <w:rsid w:val="1DE008F5"/>
    <w:rsid w:val="1DF95513"/>
    <w:rsid w:val="1E167925"/>
    <w:rsid w:val="1E1D40E9"/>
    <w:rsid w:val="1E3E6490"/>
    <w:rsid w:val="1E594203"/>
    <w:rsid w:val="1E65704C"/>
    <w:rsid w:val="1E761259"/>
    <w:rsid w:val="1E8C45D9"/>
    <w:rsid w:val="1E935967"/>
    <w:rsid w:val="1E984D2C"/>
    <w:rsid w:val="1EA062D6"/>
    <w:rsid w:val="1EE47F71"/>
    <w:rsid w:val="1F1C595D"/>
    <w:rsid w:val="1F3C5FFF"/>
    <w:rsid w:val="1F494278"/>
    <w:rsid w:val="1F642E60"/>
    <w:rsid w:val="1F7F63E0"/>
    <w:rsid w:val="1F995ABC"/>
    <w:rsid w:val="1FAA0B21"/>
    <w:rsid w:val="1FBB33C8"/>
    <w:rsid w:val="1FED10A7"/>
    <w:rsid w:val="1FEF3071"/>
    <w:rsid w:val="20270A5D"/>
    <w:rsid w:val="2080016D"/>
    <w:rsid w:val="20A420AE"/>
    <w:rsid w:val="20B120D5"/>
    <w:rsid w:val="20B147CB"/>
    <w:rsid w:val="20B46606"/>
    <w:rsid w:val="20C53DD2"/>
    <w:rsid w:val="20E424AA"/>
    <w:rsid w:val="20F326ED"/>
    <w:rsid w:val="20F841A8"/>
    <w:rsid w:val="2110276D"/>
    <w:rsid w:val="21110DC5"/>
    <w:rsid w:val="212C3E51"/>
    <w:rsid w:val="215F5FD5"/>
    <w:rsid w:val="21601448"/>
    <w:rsid w:val="2170027F"/>
    <w:rsid w:val="21B85132"/>
    <w:rsid w:val="21C2005C"/>
    <w:rsid w:val="21C519A5"/>
    <w:rsid w:val="21C66054"/>
    <w:rsid w:val="21E32762"/>
    <w:rsid w:val="21E40288"/>
    <w:rsid w:val="220A23E4"/>
    <w:rsid w:val="221C5C74"/>
    <w:rsid w:val="22405E06"/>
    <w:rsid w:val="22521696"/>
    <w:rsid w:val="226F0499"/>
    <w:rsid w:val="229C0B63"/>
    <w:rsid w:val="22C2681B"/>
    <w:rsid w:val="22CF0F38"/>
    <w:rsid w:val="22D12F02"/>
    <w:rsid w:val="22F46581"/>
    <w:rsid w:val="231B5684"/>
    <w:rsid w:val="23353491"/>
    <w:rsid w:val="2359709D"/>
    <w:rsid w:val="23607DE2"/>
    <w:rsid w:val="237044C9"/>
    <w:rsid w:val="23737B15"/>
    <w:rsid w:val="238B47C5"/>
    <w:rsid w:val="23A128D5"/>
    <w:rsid w:val="23C86AE4"/>
    <w:rsid w:val="23E30AF0"/>
    <w:rsid w:val="24107A5A"/>
    <w:rsid w:val="2412732E"/>
    <w:rsid w:val="245060A9"/>
    <w:rsid w:val="246F652F"/>
    <w:rsid w:val="248F4E23"/>
    <w:rsid w:val="249064A5"/>
    <w:rsid w:val="2492221D"/>
    <w:rsid w:val="249951F0"/>
    <w:rsid w:val="24CF3471"/>
    <w:rsid w:val="24DB5972"/>
    <w:rsid w:val="24F02EB5"/>
    <w:rsid w:val="24F46A34"/>
    <w:rsid w:val="24FD4E0F"/>
    <w:rsid w:val="251A0B90"/>
    <w:rsid w:val="25423C43"/>
    <w:rsid w:val="255B2F57"/>
    <w:rsid w:val="256A5A1C"/>
    <w:rsid w:val="25873D4C"/>
    <w:rsid w:val="259F1096"/>
    <w:rsid w:val="259F2E44"/>
    <w:rsid w:val="25B022D9"/>
    <w:rsid w:val="25C66622"/>
    <w:rsid w:val="25D32AED"/>
    <w:rsid w:val="25DA0320"/>
    <w:rsid w:val="25EE447D"/>
    <w:rsid w:val="25F52A64"/>
    <w:rsid w:val="262F241A"/>
    <w:rsid w:val="263A0DBE"/>
    <w:rsid w:val="264B6B28"/>
    <w:rsid w:val="264E03C6"/>
    <w:rsid w:val="26591245"/>
    <w:rsid w:val="267B238A"/>
    <w:rsid w:val="268362C1"/>
    <w:rsid w:val="26CD39E1"/>
    <w:rsid w:val="26D66D39"/>
    <w:rsid w:val="26E8081A"/>
    <w:rsid w:val="27035654"/>
    <w:rsid w:val="27127645"/>
    <w:rsid w:val="2743242F"/>
    <w:rsid w:val="274F0899"/>
    <w:rsid w:val="275E288B"/>
    <w:rsid w:val="276C31F9"/>
    <w:rsid w:val="276E09E1"/>
    <w:rsid w:val="277F4CDB"/>
    <w:rsid w:val="27871DE1"/>
    <w:rsid w:val="27EC6AA9"/>
    <w:rsid w:val="283A50A6"/>
    <w:rsid w:val="283F090E"/>
    <w:rsid w:val="28697739"/>
    <w:rsid w:val="28757E8C"/>
    <w:rsid w:val="28956780"/>
    <w:rsid w:val="28BC5453"/>
    <w:rsid w:val="28F433B8"/>
    <w:rsid w:val="28F95D99"/>
    <w:rsid w:val="29051210"/>
    <w:rsid w:val="29086F52"/>
    <w:rsid w:val="29472309"/>
    <w:rsid w:val="2959155B"/>
    <w:rsid w:val="299A404E"/>
    <w:rsid w:val="29C9048F"/>
    <w:rsid w:val="29D46E34"/>
    <w:rsid w:val="2A094D30"/>
    <w:rsid w:val="2A385615"/>
    <w:rsid w:val="2A4C2E6E"/>
    <w:rsid w:val="2AA809EC"/>
    <w:rsid w:val="2ABF5FBF"/>
    <w:rsid w:val="2AEF03C9"/>
    <w:rsid w:val="2AF4778E"/>
    <w:rsid w:val="2AF552B4"/>
    <w:rsid w:val="2AF92FF6"/>
    <w:rsid w:val="2B492F35"/>
    <w:rsid w:val="2B7B1C5D"/>
    <w:rsid w:val="2B843DBD"/>
    <w:rsid w:val="2B876854"/>
    <w:rsid w:val="2BBA09D7"/>
    <w:rsid w:val="2BBD04C8"/>
    <w:rsid w:val="2BC96303"/>
    <w:rsid w:val="2BD169E7"/>
    <w:rsid w:val="2BE47802"/>
    <w:rsid w:val="2BF95512"/>
    <w:rsid w:val="2BFF463C"/>
    <w:rsid w:val="2C0D1C39"/>
    <w:rsid w:val="2C106849"/>
    <w:rsid w:val="2C1520B2"/>
    <w:rsid w:val="2C1B6F9C"/>
    <w:rsid w:val="2C3818FC"/>
    <w:rsid w:val="2C3F712F"/>
    <w:rsid w:val="2C654B23"/>
    <w:rsid w:val="2C6721C0"/>
    <w:rsid w:val="2C90798A"/>
    <w:rsid w:val="2CDC2BCF"/>
    <w:rsid w:val="2CED26E7"/>
    <w:rsid w:val="2CF20C15"/>
    <w:rsid w:val="2CF63C91"/>
    <w:rsid w:val="2CF972DD"/>
    <w:rsid w:val="2D0143E4"/>
    <w:rsid w:val="2D067C4C"/>
    <w:rsid w:val="2D720E3E"/>
    <w:rsid w:val="2D945258"/>
    <w:rsid w:val="2DA03BFD"/>
    <w:rsid w:val="2DAC4350"/>
    <w:rsid w:val="2DCC67A0"/>
    <w:rsid w:val="2DCD3188"/>
    <w:rsid w:val="2DDB69E3"/>
    <w:rsid w:val="2DF857E7"/>
    <w:rsid w:val="2E19750B"/>
    <w:rsid w:val="2E220AB6"/>
    <w:rsid w:val="2E24482E"/>
    <w:rsid w:val="2E422F06"/>
    <w:rsid w:val="2E496043"/>
    <w:rsid w:val="2E8E36DA"/>
    <w:rsid w:val="2EA15E7F"/>
    <w:rsid w:val="2EB37960"/>
    <w:rsid w:val="2EC965DF"/>
    <w:rsid w:val="2EE93382"/>
    <w:rsid w:val="2EED10C4"/>
    <w:rsid w:val="2EFD0590"/>
    <w:rsid w:val="2F1321AD"/>
    <w:rsid w:val="2F195A15"/>
    <w:rsid w:val="2F212704"/>
    <w:rsid w:val="2F283EAA"/>
    <w:rsid w:val="2F395842"/>
    <w:rsid w:val="2F9C21A2"/>
    <w:rsid w:val="2FA3467F"/>
    <w:rsid w:val="2FD02046"/>
    <w:rsid w:val="2FDC3EC3"/>
    <w:rsid w:val="2FFC44A6"/>
    <w:rsid w:val="304765B2"/>
    <w:rsid w:val="306727B0"/>
    <w:rsid w:val="30673775"/>
    <w:rsid w:val="30760C45"/>
    <w:rsid w:val="30901D07"/>
    <w:rsid w:val="30CC4D09"/>
    <w:rsid w:val="30D7135A"/>
    <w:rsid w:val="30DA11D4"/>
    <w:rsid w:val="30EF31D8"/>
    <w:rsid w:val="30FF6E8C"/>
    <w:rsid w:val="310D3357"/>
    <w:rsid w:val="31271F3F"/>
    <w:rsid w:val="31435B14"/>
    <w:rsid w:val="31554CFE"/>
    <w:rsid w:val="315A0F54"/>
    <w:rsid w:val="317C777C"/>
    <w:rsid w:val="318905E6"/>
    <w:rsid w:val="31AD4B3A"/>
    <w:rsid w:val="31CB6D6E"/>
    <w:rsid w:val="31CD6F8B"/>
    <w:rsid w:val="31E16592"/>
    <w:rsid w:val="31EE13DB"/>
    <w:rsid w:val="32087FC3"/>
    <w:rsid w:val="320B24E8"/>
    <w:rsid w:val="32317519"/>
    <w:rsid w:val="32430FFB"/>
    <w:rsid w:val="324A4137"/>
    <w:rsid w:val="3267118D"/>
    <w:rsid w:val="32676A97"/>
    <w:rsid w:val="327D7571"/>
    <w:rsid w:val="3291620A"/>
    <w:rsid w:val="32A05BEE"/>
    <w:rsid w:val="32A61CB5"/>
    <w:rsid w:val="32F10A57"/>
    <w:rsid w:val="32F347CF"/>
    <w:rsid w:val="33016B27"/>
    <w:rsid w:val="330F10BA"/>
    <w:rsid w:val="33184235"/>
    <w:rsid w:val="336456CD"/>
    <w:rsid w:val="33884F17"/>
    <w:rsid w:val="339B6F44"/>
    <w:rsid w:val="33A45AC9"/>
    <w:rsid w:val="33CD6DCE"/>
    <w:rsid w:val="34482B7E"/>
    <w:rsid w:val="34727975"/>
    <w:rsid w:val="34A42225"/>
    <w:rsid w:val="34B61F58"/>
    <w:rsid w:val="34C93A39"/>
    <w:rsid w:val="34F52A80"/>
    <w:rsid w:val="35177D3B"/>
    <w:rsid w:val="3524043D"/>
    <w:rsid w:val="352C502F"/>
    <w:rsid w:val="35402D61"/>
    <w:rsid w:val="35527ED3"/>
    <w:rsid w:val="35885C2E"/>
    <w:rsid w:val="358E07DF"/>
    <w:rsid w:val="35904557"/>
    <w:rsid w:val="3599165E"/>
    <w:rsid w:val="35A328F5"/>
    <w:rsid w:val="35A61FCC"/>
    <w:rsid w:val="36064403"/>
    <w:rsid w:val="360B0081"/>
    <w:rsid w:val="36163333"/>
    <w:rsid w:val="3628478F"/>
    <w:rsid w:val="362F1FC2"/>
    <w:rsid w:val="36462E68"/>
    <w:rsid w:val="36826596"/>
    <w:rsid w:val="36AC716F"/>
    <w:rsid w:val="36BD137C"/>
    <w:rsid w:val="36C00E6C"/>
    <w:rsid w:val="36E83F1F"/>
    <w:rsid w:val="37180CA8"/>
    <w:rsid w:val="37263F37"/>
    <w:rsid w:val="373B04F2"/>
    <w:rsid w:val="377C4E9C"/>
    <w:rsid w:val="377D6D5D"/>
    <w:rsid w:val="377E4FAF"/>
    <w:rsid w:val="37817EA5"/>
    <w:rsid w:val="37B50DAA"/>
    <w:rsid w:val="37C60704"/>
    <w:rsid w:val="37D921E5"/>
    <w:rsid w:val="37EF5EA7"/>
    <w:rsid w:val="3801173C"/>
    <w:rsid w:val="38060B00"/>
    <w:rsid w:val="381C6576"/>
    <w:rsid w:val="384653A1"/>
    <w:rsid w:val="38795776"/>
    <w:rsid w:val="389F029D"/>
    <w:rsid w:val="38B92017"/>
    <w:rsid w:val="38D10C28"/>
    <w:rsid w:val="38E075A3"/>
    <w:rsid w:val="38FF7584"/>
    <w:rsid w:val="39311E60"/>
    <w:rsid w:val="39355B41"/>
    <w:rsid w:val="3949339B"/>
    <w:rsid w:val="39736669"/>
    <w:rsid w:val="397D1319"/>
    <w:rsid w:val="39E11825"/>
    <w:rsid w:val="39F8091D"/>
    <w:rsid w:val="3A211C22"/>
    <w:rsid w:val="3A6D4E67"/>
    <w:rsid w:val="3A7601BF"/>
    <w:rsid w:val="3A816B64"/>
    <w:rsid w:val="3A9977B5"/>
    <w:rsid w:val="3AA12D62"/>
    <w:rsid w:val="3AA52853"/>
    <w:rsid w:val="3AC058DE"/>
    <w:rsid w:val="3AF00BC7"/>
    <w:rsid w:val="3AF45588"/>
    <w:rsid w:val="3B021CBF"/>
    <w:rsid w:val="3B0577D9"/>
    <w:rsid w:val="3B070E17"/>
    <w:rsid w:val="3B086638"/>
    <w:rsid w:val="3B0C4680"/>
    <w:rsid w:val="3B293484"/>
    <w:rsid w:val="3B2E0A9A"/>
    <w:rsid w:val="3B776F92"/>
    <w:rsid w:val="3B7D732B"/>
    <w:rsid w:val="3B8763FC"/>
    <w:rsid w:val="3BBA40DC"/>
    <w:rsid w:val="3BC857A7"/>
    <w:rsid w:val="3BEE647B"/>
    <w:rsid w:val="3BF750E1"/>
    <w:rsid w:val="3C0B0DDB"/>
    <w:rsid w:val="3C0F10E7"/>
    <w:rsid w:val="3C113CD2"/>
    <w:rsid w:val="3C213BAF"/>
    <w:rsid w:val="3C241E9D"/>
    <w:rsid w:val="3C415549"/>
    <w:rsid w:val="3C46341B"/>
    <w:rsid w:val="3C63679D"/>
    <w:rsid w:val="3C65673D"/>
    <w:rsid w:val="3C756255"/>
    <w:rsid w:val="3C8067D3"/>
    <w:rsid w:val="3C9C72D2"/>
    <w:rsid w:val="3CA32DC2"/>
    <w:rsid w:val="3CA408E8"/>
    <w:rsid w:val="3CAD1E92"/>
    <w:rsid w:val="3CB9475D"/>
    <w:rsid w:val="3CBB635D"/>
    <w:rsid w:val="3CC01321"/>
    <w:rsid w:val="3CCB2319"/>
    <w:rsid w:val="3CCD42E3"/>
    <w:rsid w:val="3CD576CF"/>
    <w:rsid w:val="3CF15F21"/>
    <w:rsid w:val="3CFE26EE"/>
    <w:rsid w:val="3D042E64"/>
    <w:rsid w:val="3D1C2D95"/>
    <w:rsid w:val="3D255ECD"/>
    <w:rsid w:val="3D3103CE"/>
    <w:rsid w:val="3D3659E4"/>
    <w:rsid w:val="3D3E0D3C"/>
    <w:rsid w:val="3D474095"/>
    <w:rsid w:val="3D4F2F4A"/>
    <w:rsid w:val="3D5567B2"/>
    <w:rsid w:val="3D597924"/>
    <w:rsid w:val="3D934BE4"/>
    <w:rsid w:val="3DD5344F"/>
    <w:rsid w:val="3DE26767"/>
    <w:rsid w:val="3DE90CA8"/>
    <w:rsid w:val="3DF17B5D"/>
    <w:rsid w:val="3DF31B27"/>
    <w:rsid w:val="3E0755D2"/>
    <w:rsid w:val="3E133F77"/>
    <w:rsid w:val="3E157CEF"/>
    <w:rsid w:val="3E300685"/>
    <w:rsid w:val="3E304B29"/>
    <w:rsid w:val="3E3D0FF4"/>
    <w:rsid w:val="3E444130"/>
    <w:rsid w:val="3E836EC6"/>
    <w:rsid w:val="3E8A248B"/>
    <w:rsid w:val="3EB42DC3"/>
    <w:rsid w:val="3EC15781"/>
    <w:rsid w:val="3EFC08C3"/>
    <w:rsid w:val="3F1E2BD3"/>
    <w:rsid w:val="3F23468E"/>
    <w:rsid w:val="3F4031DE"/>
    <w:rsid w:val="3F564FB3"/>
    <w:rsid w:val="3F571B2E"/>
    <w:rsid w:val="3F5C5D42"/>
    <w:rsid w:val="3F6F78D3"/>
    <w:rsid w:val="3F7B1DD4"/>
    <w:rsid w:val="3FA56E51"/>
    <w:rsid w:val="3FAA61C3"/>
    <w:rsid w:val="3FC9475C"/>
    <w:rsid w:val="40073668"/>
    <w:rsid w:val="400B56FF"/>
    <w:rsid w:val="40130ECF"/>
    <w:rsid w:val="40204729"/>
    <w:rsid w:val="40491ED2"/>
    <w:rsid w:val="404C3770"/>
    <w:rsid w:val="40970E8F"/>
    <w:rsid w:val="409F7D44"/>
    <w:rsid w:val="40BA692C"/>
    <w:rsid w:val="40CA3013"/>
    <w:rsid w:val="40F16EF6"/>
    <w:rsid w:val="40F938F8"/>
    <w:rsid w:val="41004C87"/>
    <w:rsid w:val="410F3A50"/>
    <w:rsid w:val="41401527"/>
    <w:rsid w:val="41654AEA"/>
    <w:rsid w:val="41884D9B"/>
    <w:rsid w:val="41BC0EC2"/>
    <w:rsid w:val="41C061C4"/>
    <w:rsid w:val="41CA0DF1"/>
    <w:rsid w:val="41DD0B24"/>
    <w:rsid w:val="41E41EB2"/>
    <w:rsid w:val="41EA19F2"/>
    <w:rsid w:val="41F45E6E"/>
    <w:rsid w:val="41F67E38"/>
    <w:rsid w:val="41F8770C"/>
    <w:rsid w:val="42042555"/>
    <w:rsid w:val="420460B1"/>
    <w:rsid w:val="42162288"/>
    <w:rsid w:val="421A3B26"/>
    <w:rsid w:val="421C3E6F"/>
    <w:rsid w:val="423F358D"/>
    <w:rsid w:val="42472441"/>
    <w:rsid w:val="425A02DC"/>
    <w:rsid w:val="429531AD"/>
    <w:rsid w:val="42AB29D0"/>
    <w:rsid w:val="42B23D5F"/>
    <w:rsid w:val="42BC4BDD"/>
    <w:rsid w:val="42C43A92"/>
    <w:rsid w:val="42CB3072"/>
    <w:rsid w:val="42ED2FE9"/>
    <w:rsid w:val="42F00D2B"/>
    <w:rsid w:val="42F26851"/>
    <w:rsid w:val="432224F9"/>
    <w:rsid w:val="43560B8E"/>
    <w:rsid w:val="4359067E"/>
    <w:rsid w:val="43650DD1"/>
    <w:rsid w:val="436C7DE2"/>
    <w:rsid w:val="437D25BE"/>
    <w:rsid w:val="439E2535"/>
    <w:rsid w:val="43AA712C"/>
    <w:rsid w:val="43B73FD6"/>
    <w:rsid w:val="43BF6C09"/>
    <w:rsid w:val="43CF6B92"/>
    <w:rsid w:val="440A0592"/>
    <w:rsid w:val="441F3676"/>
    <w:rsid w:val="443D7EA8"/>
    <w:rsid w:val="445F1CC4"/>
    <w:rsid w:val="448B0D0B"/>
    <w:rsid w:val="44B813D4"/>
    <w:rsid w:val="44D02BC2"/>
    <w:rsid w:val="45181E73"/>
    <w:rsid w:val="45404623"/>
    <w:rsid w:val="4545710C"/>
    <w:rsid w:val="454A5FE7"/>
    <w:rsid w:val="456450B8"/>
    <w:rsid w:val="45725A27"/>
    <w:rsid w:val="457E43CC"/>
    <w:rsid w:val="45886FF9"/>
    <w:rsid w:val="45A152F5"/>
    <w:rsid w:val="45A55DFD"/>
    <w:rsid w:val="45A82767"/>
    <w:rsid w:val="45C06792"/>
    <w:rsid w:val="45F10EBA"/>
    <w:rsid w:val="45F40814"/>
    <w:rsid w:val="46026DAB"/>
    <w:rsid w:val="462C28FF"/>
    <w:rsid w:val="464B69A4"/>
    <w:rsid w:val="46D70238"/>
    <w:rsid w:val="46DA1AD6"/>
    <w:rsid w:val="47134FE8"/>
    <w:rsid w:val="47176886"/>
    <w:rsid w:val="47242D51"/>
    <w:rsid w:val="4732546E"/>
    <w:rsid w:val="475C073D"/>
    <w:rsid w:val="476F0470"/>
    <w:rsid w:val="4799729B"/>
    <w:rsid w:val="48276F9D"/>
    <w:rsid w:val="48376AB4"/>
    <w:rsid w:val="484236C9"/>
    <w:rsid w:val="48436870"/>
    <w:rsid w:val="485E04E5"/>
    <w:rsid w:val="485F5807"/>
    <w:rsid w:val="4867383D"/>
    <w:rsid w:val="48AF089B"/>
    <w:rsid w:val="48B52FCC"/>
    <w:rsid w:val="48E42798"/>
    <w:rsid w:val="48E44E8E"/>
    <w:rsid w:val="490177EE"/>
    <w:rsid w:val="492E6109"/>
    <w:rsid w:val="4941408E"/>
    <w:rsid w:val="497E2BEC"/>
    <w:rsid w:val="49956188"/>
    <w:rsid w:val="49957F36"/>
    <w:rsid w:val="49971F00"/>
    <w:rsid w:val="49A25B6E"/>
    <w:rsid w:val="49AF724A"/>
    <w:rsid w:val="49BE56DF"/>
    <w:rsid w:val="49CB1BAA"/>
    <w:rsid w:val="49D547D7"/>
    <w:rsid w:val="49F70BF1"/>
    <w:rsid w:val="4A032866"/>
    <w:rsid w:val="4A113A61"/>
    <w:rsid w:val="4A1D0657"/>
    <w:rsid w:val="4A2C089A"/>
    <w:rsid w:val="4A3656F5"/>
    <w:rsid w:val="4A590AD4"/>
    <w:rsid w:val="4A6A75E9"/>
    <w:rsid w:val="4A787659"/>
    <w:rsid w:val="4A97244C"/>
    <w:rsid w:val="4AB56AE2"/>
    <w:rsid w:val="4AC05487"/>
    <w:rsid w:val="4AC07235"/>
    <w:rsid w:val="4AC24D5B"/>
    <w:rsid w:val="4AC46D25"/>
    <w:rsid w:val="4AE10F0B"/>
    <w:rsid w:val="4AFF5FAF"/>
    <w:rsid w:val="4B15079E"/>
    <w:rsid w:val="4B3B4FD2"/>
    <w:rsid w:val="4B3D3D4F"/>
    <w:rsid w:val="4B3F45FD"/>
    <w:rsid w:val="4B46598C"/>
    <w:rsid w:val="4B685902"/>
    <w:rsid w:val="4B7D32A9"/>
    <w:rsid w:val="4B8137BE"/>
    <w:rsid w:val="4B865D88"/>
    <w:rsid w:val="4B897627"/>
    <w:rsid w:val="4B8977CA"/>
    <w:rsid w:val="4B9444ED"/>
    <w:rsid w:val="4BA95FFA"/>
    <w:rsid w:val="4BD27220"/>
    <w:rsid w:val="4BF13B1F"/>
    <w:rsid w:val="4C110A0C"/>
    <w:rsid w:val="4C1959A8"/>
    <w:rsid w:val="4C1E4213"/>
    <w:rsid w:val="4C2F5B9A"/>
    <w:rsid w:val="4C4F0870"/>
    <w:rsid w:val="4C5C4D3B"/>
    <w:rsid w:val="4C5D0378"/>
    <w:rsid w:val="4C714C8A"/>
    <w:rsid w:val="4C7B78B7"/>
    <w:rsid w:val="4C883D82"/>
    <w:rsid w:val="4C93089B"/>
    <w:rsid w:val="4CC15C1C"/>
    <w:rsid w:val="4D07739D"/>
    <w:rsid w:val="4D111FCA"/>
    <w:rsid w:val="4D113D78"/>
    <w:rsid w:val="4D3D4B6D"/>
    <w:rsid w:val="4D41465D"/>
    <w:rsid w:val="4D583754"/>
    <w:rsid w:val="4D6245D3"/>
    <w:rsid w:val="4DC31516"/>
    <w:rsid w:val="4DD74FC1"/>
    <w:rsid w:val="4DDA23BB"/>
    <w:rsid w:val="4DDA685F"/>
    <w:rsid w:val="4E6C395B"/>
    <w:rsid w:val="4E813A0E"/>
    <w:rsid w:val="4E816CDB"/>
    <w:rsid w:val="4E850579"/>
    <w:rsid w:val="4E9E788D"/>
    <w:rsid w:val="4EC76DE4"/>
    <w:rsid w:val="4ECA0682"/>
    <w:rsid w:val="4F22401A"/>
    <w:rsid w:val="4F334479"/>
    <w:rsid w:val="4F400944"/>
    <w:rsid w:val="4F4A3571"/>
    <w:rsid w:val="4F604B42"/>
    <w:rsid w:val="4F6C2616"/>
    <w:rsid w:val="4F6E54B1"/>
    <w:rsid w:val="4F860A4D"/>
    <w:rsid w:val="4FA17635"/>
    <w:rsid w:val="4FA709C3"/>
    <w:rsid w:val="4FCB7A21"/>
    <w:rsid w:val="4FCE41A2"/>
    <w:rsid w:val="4FD07F1A"/>
    <w:rsid w:val="4FD74D0A"/>
    <w:rsid w:val="4FDC68BF"/>
    <w:rsid w:val="4FF260E2"/>
    <w:rsid w:val="4FF9121F"/>
    <w:rsid w:val="4FFA6D45"/>
    <w:rsid w:val="500B0F52"/>
    <w:rsid w:val="501B116C"/>
    <w:rsid w:val="501D69D5"/>
    <w:rsid w:val="50265D8C"/>
    <w:rsid w:val="502B6EFE"/>
    <w:rsid w:val="503B20C3"/>
    <w:rsid w:val="504F52E3"/>
    <w:rsid w:val="507E34D2"/>
    <w:rsid w:val="50AF18DD"/>
    <w:rsid w:val="50CC06E1"/>
    <w:rsid w:val="50CF01D2"/>
    <w:rsid w:val="50FE0AB7"/>
    <w:rsid w:val="51165E00"/>
    <w:rsid w:val="51302D1C"/>
    <w:rsid w:val="51316717"/>
    <w:rsid w:val="51453FF0"/>
    <w:rsid w:val="517843C5"/>
    <w:rsid w:val="51CC5275"/>
    <w:rsid w:val="51FD114C"/>
    <w:rsid w:val="52151C14"/>
    <w:rsid w:val="521F6F37"/>
    <w:rsid w:val="522307D5"/>
    <w:rsid w:val="5224454D"/>
    <w:rsid w:val="52366B1E"/>
    <w:rsid w:val="523F3135"/>
    <w:rsid w:val="5248023B"/>
    <w:rsid w:val="524D5852"/>
    <w:rsid w:val="52595E1D"/>
    <w:rsid w:val="526D37FE"/>
    <w:rsid w:val="527F3531"/>
    <w:rsid w:val="52825A68"/>
    <w:rsid w:val="52C13C51"/>
    <w:rsid w:val="52D4387D"/>
    <w:rsid w:val="52EC13EF"/>
    <w:rsid w:val="532F4F57"/>
    <w:rsid w:val="535720FA"/>
    <w:rsid w:val="537A08C9"/>
    <w:rsid w:val="5382777D"/>
    <w:rsid w:val="53A45E9A"/>
    <w:rsid w:val="53C90F08"/>
    <w:rsid w:val="53DF421F"/>
    <w:rsid w:val="53EC14F6"/>
    <w:rsid w:val="53FA0146"/>
    <w:rsid w:val="540463E4"/>
    <w:rsid w:val="542B6961"/>
    <w:rsid w:val="546038E7"/>
    <w:rsid w:val="549459BA"/>
    <w:rsid w:val="54986705"/>
    <w:rsid w:val="54C0055D"/>
    <w:rsid w:val="54DB5397"/>
    <w:rsid w:val="54E56216"/>
    <w:rsid w:val="54E67898"/>
    <w:rsid w:val="55143AB8"/>
    <w:rsid w:val="556829A3"/>
    <w:rsid w:val="55711857"/>
    <w:rsid w:val="558C043F"/>
    <w:rsid w:val="55D342C0"/>
    <w:rsid w:val="55F36710"/>
    <w:rsid w:val="56475154"/>
    <w:rsid w:val="567D5FDA"/>
    <w:rsid w:val="5692428E"/>
    <w:rsid w:val="5697353F"/>
    <w:rsid w:val="56A71364"/>
    <w:rsid w:val="56C41E5B"/>
    <w:rsid w:val="56C43C09"/>
    <w:rsid w:val="56FB3ACE"/>
    <w:rsid w:val="5705494D"/>
    <w:rsid w:val="570566FB"/>
    <w:rsid w:val="57203535"/>
    <w:rsid w:val="572648C3"/>
    <w:rsid w:val="573B036F"/>
    <w:rsid w:val="57462870"/>
    <w:rsid w:val="57743881"/>
    <w:rsid w:val="57853398"/>
    <w:rsid w:val="579058D3"/>
    <w:rsid w:val="57925AB5"/>
    <w:rsid w:val="57A55BB2"/>
    <w:rsid w:val="57B63E99"/>
    <w:rsid w:val="57BB500C"/>
    <w:rsid w:val="57C55E8A"/>
    <w:rsid w:val="57D02464"/>
    <w:rsid w:val="58262DCD"/>
    <w:rsid w:val="583C439E"/>
    <w:rsid w:val="5878114F"/>
    <w:rsid w:val="58901FFF"/>
    <w:rsid w:val="58AC2BA6"/>
    <w:rsid w:val="58AD704A"/>
    <w:rsid w:val="58BC728D"/>
    <w:rsid w:val="58BF6D7E"/>
    <w:rsid w:val="58CB127E"/>
    <w:rsid w:val="58CB74D0"/>
    <w:rsid w:val="58D72319"/>
    <w:rsid w:val="591E5852"/>
    <w:rsid w:val="59313607"/>
    <w:rsid w:val="595E0345"/>
    <w:rsid w:val="597B0EF6"/>
    <w:rsid w:val="59851D75"/>
    <w:rsid w:val="5987789B"/>
    <w:rsid w:val="59926240"/>
    <w:rsid w:val="59AD6A12"/>
    <w:rsid w:val="59B83EF9"/>
    <w:rsid w:val="59B937CD"/>
    <w:rsid w:val="59C4289D"/>
    <w:rsid w:val="59CC3500"/>
    <w:rsid w:val="59D6437F"/>
    <w:rsid w:val="5A0802B0"/>
    <w:rsid w:val="5A764B0C"/>
    <w:rsid w:val="5ABD72ED"/>
    <w:rsid w:val="5AC4067B"/>
    <w:rsid w:val="5B21162A"/>
    <w:rsid w:val="5B280C0A"/>
    <w:rsid w:val="5B4B2B4A"/>
    <w:rsid w:val="5B8816A9"/>
    <w:rsid w:val="5BF13D8C"/>
    <w:rsid w:val="5C225659"/>
    <w:rsid w:val="5C545A2F"/>
    <w:rsid w:val="5C653798"/>
    <w:rsid w:val="5C837F16"/>
    <w:rsid w:val="5C846314"/>
    <w:rsid w:val="5C9C024C"/>
    <w:rsid w:val="5CAC6EDF"/>
    <w:rsid w:val="5CD10E2D"/>
    <w:rsid w:val="5CDC6150"/>
    <w:rsid w:val="5CF039A9"/>
    <w:rsid w:val="5D1C02FB"/>
    <w:rsid w:val="5D2B685F"/>
    <w:rsid w:val="5D323FC2"/>
    <w:rsid w:val="5D5201C0"/>
    <w:rsid w:val="5D562D6D"/>
    <w:rsid w:val="5D5C1BAA"/>
    <w:rsid w:val="5D7E7207"/>
    <w:rsid w:val="5D812854"/>
    <w:rsid w:val="5DA64068"/>
    <w:rsid w:val="5DAB167E"/>
    <w:rsid w:val="5DBE5856"/>
    <w:rsid w:val="5DCD2B84"/>
    <w:rsid w:val="5DDE7CA6"/>
    <w:rsid w:val="5DE30E18"/>
    <w:rsid w:val="5DED7EE9"/>
    <w:rsid w:val="5E093885"/>
    <w:rsid w:val="5E2454B0"/>
    <w:rsid w:val="5E39312E"/>
    <w:rsid w:val="5E4775F9"/>
    <w:rsid w:val="5E880503"/>
    <w:rsid w:val="5EA90260"/>
    <w:rsid w:val="5EE74938"/>
    <w:rsid w:val="5EF3152F"/>
    <w:rsid w:val="5EF908A6"/>
    <w:rsid w:val="5F0D0843"/>
    <w:rsid w:val="5F1E0812"/>
    <w:rsid w:val="5F4B3119"/>
    <w:rsid w:val="5F5244A8"/>
    <w:rsid w:val="5F557AF4"/>
    <w:rsid w:val="5F5D4BFA"/>
    <w:rsid w:val="5F6E0BB6"/>
    <w:rsid w:val="5F88611B"/>
    <w:rsid w:val="5F922AF6"/>
    <w:rsid w:val="5FAB3BB8"/>
    <w:rsid w:val="5FBD5BDF"/>
    <w:rsid w:val="5FBF7663"/>
    <w:rsid w:val="5FC15189"/>
    <w:rsid w:val="5FD44EBD"/>
    <w:rsid w:val="5FE6412F"/>
    <w:rsid w:val="602816AC"/>
    <w:rsid w:val="602A2D2E"/>
    <w:rsid w:val="60402552"/>
    <w:rsid w:val="60432042"/>
    <w:rsid w:val="605D1356"/>
    <w:rsid w:val="606A3A73"/>
    <w:rsid w:val="60AC7BE7"/>
    <w:rsid w:val="60B42F40"/>
    <w:rsid w:val="60D1764E"/>
    <w:rsid w:val="60D55E5E"/>
    <w:rsid w:val="61185F82"/>
    <w:rsid w:val="612B1454"/>
    <w:rsid w:val="61314591"/>
    <w:rsid w:val="615255EB"/>
    <w:rsid w:val="616B35FF"/>
    <w:rsid w:val="616C7377"/>
    <w:rsid w:val="616E7593"/>
    <w:rsid w:val="617526CF"/>
    <w:rsid w:val="61AC2E6E"/>
    <w:rsid w:val="61C947C9"/>
    <w:rsid w:val="61D70C94"/>
    <w:rsid w:val="61E45F3D"/>
    <w:rsid w:val="61ED04B8"/>
    <w:rsid w:val="61F1327E"/>
    <w:rsid w:val="61FC4B9F"/>
    <w:rsid w:val="621A6DD3"/>
    <w:rsid w:val="62326812"/>
    <w:rsid w:val="625B7B17"/>
    <w:rsid w:val="629D20A7"/>
    <w:rsid w:val="62B47227"/>
    <w:rsid w:val="62C31218"/>
    <w:rsid w:val="62DF24F6"/>
    <w:rsid w:val="63220635"/>
    <w:rsid w:val="632E2B36"/>
    <w:rsid w:val="636429FB"/>
    <w:rsid w:val="63862972"/>
    <w:rsid w:val="638B61DA"/>
    <w:rsid w:val="639D5F0D"/>
    <w:rsid w:val="63BE035D"/>
    <w:rsid w:val="63E678B4"/>
    <w:rsid w:val="63E94CAF"/>
    <w:rsid w:val="641B3AB2"/>
    <w:rsid w:val="642121D9"/>
    <w:rsid w:val="64297B57"/>
    <w:rsid w:val="64357EF4"/>
    <w:rsid w:val="645E38EF"/>
    <w:rsid w:val="647A1DAB"/>
    <w:rsid w:val="647E5D3F"/>
    <w:rsid w:val="64A258CD"/>
    <w:rsid w:val="64F16511"/>
    <w:rsid w:val="64F93617"/>
    <w:rsid w:val="65193FE4"/>
    <w:rsid w:val="65222B6E"/>
    <w:rsid w:val="65270184"/>
    <w:rsid w:val="65610A4C"/>
    <w:rsid w:val="65674A25"/>
    <w:rsid w:val="656B62C3"/>
    <w:rsid w:val="656F1B5E"/>
    <w:rsid w:val="657908A4"/>
    <w:rsid w:val="65A96DEB"/>
    <w:rsid w:val="65B85280"/>
    <w:rsid w:val="65BF660F"/>
    <w:rsid w:val="65F67C27"/>
    <w:rsid w:val="65F84BEE"/>
    <w:rsid w:val="66171FA7"/>
    <w:rsid w:val="66236B9E"/>
    <w:rsid w:val="6655487D"/>
    <w:rsid w:val="665A00E6"/>
    <w:rsid w:val="66652D12"/>
    <w:rsid w:val="668C22FA"/>
    <w:rsid w:val="669B6734"/>
    <w:rsid w:val="66A23F66"/>
    <w:rsid w:val="66A55805"/>
    <w:rsid w:val="66E53E53"/>
    <w:rsid w:val="66F10A4A"/>
    <w:rsid w:val="66F95B50"/>
    <w:rsid w:val="673E3563"/>
    <w:rsid w:val="6744288A"/>
    <w:rsid w:val="676A6106"/>
    <w:rsid w:val="676D7A10"/>
    <w:rsid w:val="677C19FA"/>
    <w:rsid w:val="67940927"/>
    <w:rsid w:val="679A5CF0"/>
    <w:rsid w:val="67BA52E0"/>
    <w:rsid w:val="67F87BB6"/>
    <w:rsid w:val="68224C33"/>
    <w:rsid w:val="682E182A"/>
    <w:rsid w:val="683B7555"/>
    <w:rsid w:val="68594AF9"/>
    <w:rsid w:val="68692862"/>
    <w:rsid w:val="68C06926"/>
    <w:rsid w:val="68C47A98"/>
    <w:rsid w:val="68DE6509"/>
    <w:rsid w:val="68ED3493"/>
    <w:rsid w:val="68F123F5"/>
    <w:rsid w:val="690031C6"/>
    <w:rsid w:val="690F3409"/>
    <w:rsid w:val="69124CA8"/>
    <w:rsid w:val="693C3AD3"/>
    <w:rsid w:val="6965127B"/>
    <w:rsid w:val="69935ABC"/>
    <w:rsid w:val="69A078C8"/>
    <w:rsid w:val="69D63F27"/>
    <w:rsid w:val="69E21F7D"/>
    <w:rsid w:val="69EC374B"/>
    <w:rsid w:val="69F60125"/>
    <w:rsid w:val="6A4470E3"/>
    <w:rsid w:val="6A7C687C"/>
    <w:rsid w:val="6A8676FB"/>
    <w:rsid w:val="6A98679B"/>
    <w:rsid w:val="6AB853DB"/>
    <w:rsid w:val="6ABD403C"/>
    <w:rsid w:val="6B0074AE"/>
    <w:rsid w:val="6B0D04AA"/>
    <w:rsid w:val="6B17192C"/>
    <w:rsid w:val="6B1C55FE"/>
    <w:rsid w:val="6B1E16E2"/>
    <w:rsid w:val="6B2F7D93"/>
    <w:rsid w:val="6B383F7F"/>
    <w:rsid w:val="6B4E7556"/>
    <w:rsid w:val="6B7C465A"/>
    <w:rsid w:val="6B930322"/>
    <w:rsid w:val="6B96396E"/>
    <w:rsid w:val="6BE75E0F"/>
    <w:rsid w:val="6C0E79A8"/>
    <w:rsid w:val="6C262F44"/>
    <w:rsid w:val="6C303DC2"/>
    <w:rsid w:val="6C3513D9"/>
    <w:rsid w:val="6C472EBA"/>
    <w:rsid w:val="6CA30ED4"/>
    <w:rsid w:val="6CAC6DF2"/>
    <w:rsid w:val="6CB71DEE"/>
    <w:rsid w:val="6CBD4F2A"/>
    <w:rsid w:val="6CC22541"/>
    <w:rsid w:val="6CCA7D73"/>
    <w:rsid w:val="6CE34991"/>
    <w:rsid w:val="6CE81FA7"/>
    <w:rsid w:val="6D0B3EE8"/>
    <w:rsid w:val="6D284A9A"/>
    <w:rsid w:val="6D3163BE"/>
    <w:rsid w:val="6D413DAD"/>
    <w:rsid w:val="6D4A0EB4"/>
    <w:rsid w:val="6D4C4C2C"/>
    <w:rsid w:val="6D4F2026"/>
    <w:rsid w:val="6D5C4743"/>
    <w:rsid w:val="6D723F67"/>
    <w:rsid w:val="6D7B029E"/>
    <w:rsid w:val="6D7D0072"/>
    <w:rsid w:val="6D7F0B60"/>
    <w:rsid w:val="6D844AAC"/>
    <w:rsid w:val="6D8C327A"/>
    <w:rsid w:val="6DB921CC"/>
    <w:rsid w:val="6DC347C2"/>
    <w:rsid w:val="6E192634"/>
    <w:rsid w:val="6E296D1B"/>
    <w:rsid w:val="6E331948"/>
    <w:rsid w:val="6E3D27C7"/>
    <w:rsid w:val="6E4E0530"/>
    <w:rsid w:val="6E58150A"/>
    <w:rsid w:val="6E5A5127"/>
    <w:rsid w:val="6E70494A"/>
    <w:rsid w:val="6E7B2237"/>
    <w:rsid w:val="6E7C509D"/>
    <w:rsid w:val="6E7F4B8D"/>
    <w:rsid w:val="6E9D60EF"/>
    <w:rsid w:val="6EBD10DA"/>
    <w:rsid w:val="6EE13152"/>
    <w:rsid w:val="6EF03395"/>
    <w:rsid w:val="6F3752BC"/>
    <w:rsid w:val="6F5002D8"/>
    <w:rsid w:val="6F72024E"/>
    <w:rsid w:val="6F765F90"/>
    <w:rsid w:val="6F920B6B"/>
    <w:rsid w:val="6F9603E0"/>
    <w:rsid w:val="6F9F7969"/>
    <w:rsid w:val="6FEA4288"/>
    <w:rsid w:val="70117A67"/>
    <w:rsid w:val="701B08E6"/>
    <w:rsid w:val="70455963"/>
    <w:rsid w:val="70716758"/>
    <w:rsid w:val="70A92069"/>
    <w:rsid w:val="70CB2F29"/>
    <w:rsid w:val="70F96E79"/>
    <w:rsid w:val="712832BA"/>
    <w:rsid w:val="71461992"/>
    <w:rsid w:val="71791D68"/>
    <w:rsid w:val="717C7162"/>
    <w:rsid w:val="719721EE"/>
    <w:rsid w:val="71A32941"/>
    <w:rsid w:val="71A861A9"/>
    <w:rsid w:val="71EF202A"/>
    <w:rsid w:val="71F17B50"/>
    <w:rsid w:val="72193B9F"/>
    <w:rsid w:val="722A3062"/>
    <w:rsid w:val="72323CC5"/>
    <w:rsid w:val="72402885"/>
    <w:rsid w:val="72606A84"/>
    <w:rsid w:val="726522EC"/>
    <w:rsid w:val="727662A7"/>
    <w:rsid w:val="728F1117"/>
    <w:rsid w:val="72A526E9"/>
    <w:rsid w:val="72C07522"/>
    <w:rsid w:val="72E06781"/>
    <w:rsid w:val="7306325C"/>
    <w:rsid w:val="730B69EF"/>
    <w:rsid w:val="735F0AE9"/>
    <w:rsid w:val="73781BAB"/>
    <w:rsid w:val="73C92407"/>
    <w:rsid w:val="740759EF"/>
    <w:rsid w:val="74092E99"/>
    <w:rsid w:val="74123091"/>
    <w:rsid w:val="74274085"/>
    <w:rsid w:val="74365CEE"/>
    <w:rsid w:val="746740F9"/>
    <w:rsid w:val="74784559"/>
    <w:rsid w:val="74887DC7"/>
    <w:rsid w:val="748A7DE8"/>
    <w:rsid w:val="74987D58"/>
    <w:rsid w:val="74A0585D"/>
    <w:rsid w:val="74B11819"/>
    <w:rsid w:val="74CE23CA"/>
    <w:rsid w:val="74EE0377"/>
    <w:rsid w:val="752B3379"/>
    <w:rsid w:val="753C6510"/>
    <w:rsid w:val="753F0BD2"/>
    <w:rsid w:val="759A04FF"/>
    <w:rsid w:val="759E1D9D"/>
    <w:rsid w:val="75F75C0E"/>
    <w:rsid w:val="76105FB9"/>
    <w:rsid w:val="7616179B"/>
    <w:rsid w:val="768D0E64"/>
    <w:rsid w:val="768F5B89"/>
    <w:rsid w:val="7693567A"/>
    <w:rsid w:val="769413F2"/>
    <w:rsid w:val="76A827A7"/>
    <w:rsid w:val="76A96C4B"/>
    <w:rsid w:val="76FA193D"/>
    <w:rsid w:val="771147F0"/>
    <w:rsid w:val="771F0CBB"/>
    <w:rsid w:val="77381D7D"/>
    <w:rsid w:val="779F0312"/>
    <w:rsid w:val="77A80CB1"/>
    <w:rsid w:val="77B75398"/>
    <w:rsid w:val="78362761"/>
    <w:rsid w:val="785D5F3F"/>
    <w:rsid w:val="78723B72"/>
    <w:rsid w:val="78874D6A"/>
    <w:rsid w:val="78B96EEE"/>
    <w:rsid w:val="78E201F2"/>
    <w:rsid w:val="792151BF"/>
    <w:rsid w:val="79492020"/>
    <w:rsid w:val="798219D5"/>
    <w:rsid w:val="799A0ACD"/>
    <w:rsid w:val="79A656C4"/>
    <w:rsid w:val="79B53B59"/>
    <w:rsid w:val="79F90E16"/>
    <w:rsid w:val="7A53292F"/>
    <w:rsid w:val="7A5944E4"/>
    <w:rsid w:val="7A884DCA"/>
    <w:rsid w:val="7ABE2599"/>
    <w:rsid w:val="7AC2652D"/>
    <w:rsid w:val="7ACB402D"/>
    <w:rsid w:val="7AE364A4"/>
    <w:rsid w:val="7B234AF2"/>
    <w:rsid w:val="7B242D44"/>
    <w:rsid w:val="7B783090"/>
    <w:rsid w:val="7BD5403F"/>
    <w:rsid w:val="7BF70459"/>
    <w:rsid w:val="7BFF2E69"/>
    <w:rsid w:val="7C132B27"/>
    <w:rsid w:val="7C3E4599"/>
    <w:rsid w:val="7C5C650E"/>
    <w:rsid w:val="7C6B49A3"/>
    <w:rsid w:val="7CA0289E"/>
    <w:rsid w:val="7CA9476E"/>
    <w:rsid w:val="7CC83BA3"/>
    <w:rsid w:val="7CF95B0B"/>
    <w:rsid w:val="7D056BA5"/>
    <w:rsid w:val="7D450D50"/>
    <w:rsid w:val="7D4F1BCF"/>
    <w:rsid w:val="7D5316BF"/>
    <w:rsid w:val="7D6A07B6"/>
    <w:rsid w:val="7D807FDA"/>
    <w:rsid w:val="7D842D34"/>
    <w:rsid w:val="7D8F021D"/>
    <w:rsid w:val="7DB14637"/>
    <w:rsid w:val="7DBC41DF"/>
    <w:rsid w:val="7DF26E9C"/>
    <w:rsid w:val="7E2272E3"/>
    <w:rsid w:val="7E437985"/>
    <w:rsid w:val="7E525E1A"/>
    <w:rsid w:val="7E566C54"/>
    <w:rsid w:val="7E5908CA"/>
    <w:rsid w:val="7E5A4CCF"/>
    <w:rsid w:val="7E5F4093"/>
    <w:rsid w:val="7E633B84"/>
    <w:rsid w:val="7E6351AE"/>
    <w:rsid w:val="7E7465E4"/>
    <w:rsid w:val="7E755665"/>
    <w:rsid w:val="7E865AC4"/>
    <w:rsid w:val="7ED76320"/>
    <w:rsid w:val="7ED94253"/>
    <w:rsid w:val="7EE36A72"/>
    <w:rsid w:val="7EED169F"/>
    <w:rsid w:val="7EED78F1"/>
    <w:rsid w:val="7EF90044"/>
    <w:rsid w:val="7F080287"/>
    <w:rsid w:val="7F0809D3"/>
    <w:rsid w:val="7F1B26B0"/>
    <w:rsid w:val="7F21759B"/>
    <w:rsid w:val="7F743B6E"/>
    <w:rsid w:val="7F820039"/>
    <w:rsid w:val="7F8738A2"/>
    <w:rsid w:val="7F963AE5"/>
    <w:rsid w:val="7F983D01"/>
    <w:rsid w:val="7FC44AF6"/>
    <w:rsid w:val="7FD80115"/>
    <w:rsid w:val="7FF627D5"/>
    <w:rsid w:val="9AB214C5"/>
    <w:rsid w:val="F1FFAF6F"/>
    <w:rsid w:val="FB8F66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autoRedefine/>
    <w:qFormat/>
    <w:uiPriority w:val="0"/>
    <w:pPr>
      <w:spacing w:beforeAutospacing="1" w:afterAutospacing="1"/>
      <w:jc w:val="left"/>
    </w:pPr>
    <w:rPr>
      <w:rFonts w:cs="Times New Roman"/>
      <w:kern w:val="0"/>
      <w:sz w:val="24"/>
    </w:rPr>
  </w:style>
  <w:style w:type="paragraph" w:customStyle="1" w:styleId="7">
    <w:name w:val="Picture caption|1"/>
    <w:basedOn w:val="1"/>
    <w:autoRedefine/>
    <w:qFormat/>
    <w:uiPriority w:val="0"/>
    <w:pPr>
      <w:widowControl w:val="0"/>
      <w:shd w:val="clear" w:color="auto" w:fill="auto"/>
    </w:pPr>
    <w:rPr>
      <w:rFonts w:ascii="宋体" w:hAnsi="宋体" w:eastAsia="宋体" w:cs="宋体"/>
      <w:i/>
      <w:iCs/>
      <w:sz w:val="20"/>
      <w:szCs w:val="20"/>
      <w:u w:val="none"/>
      <w:shd w:val="clear" w:color="auto" w:fill="auto"/>
      <w:lang w:val="zh-TW" w:eastAsia="zh-TW" w:bidi="zh-TW"/>
    </w:rPr>
  </w:style>
  <w:style w:type="paragraph" w:customStyle="1" w:styleId="8">
    <w:name w:val="Other|1"/>
    <w:basedOn w:val="1"/>
    <w:autoRedefine/>
    <w:qFormat/>
    <w:uiPriority w:val="0"/>
    <w:pPr>
      <w:widowControl w:val="0"/>
      <w:shd w:val="clear" w:color="auto" w:fill="auto"/>
    </w:pPr>
    <w:rPr>
      <w:rFonts w:ascii="宋体" w:hAnsi="宋体" w:eastAsia="宋体" w:cs="宋体"/>
      <w:i/>
      <w:iCs/>
      <w:sz w:val="20"/>
      <w:szCs w:val="20"/>
      <w:u w:val="none"/>
      <w:shd w:val="clear" w:color="auto" w:fill="auto"/>
      <w:lang w:val="zh-TW" w:eastAsia="zh-TW" w:bidi="zh-TW"/>
    </w:rPr>
  </w:style>
  <w:style w:type="character" w:customStyle="1" w:styleId="9">
    <w:name w:val="font11"/>
    <w:basedOn w:val="6"/>
    <w:autoRedefine/>
    <w:qFormat/>
    <w:uiPriority w:val="0"/>
    <w:rPr>
      <w:rFonts w:hint="eastAsia" w:ascii="宋体" w:hAnsi="宋体" w:eastAsia="宋体" w:cs="宋体"/>
      <w:color w:val="000000"/>
      <w:sz w:val="22"/>
      <w:szCs w:val="22"/>
      <w:u w:val="none"/>
    </w:rPr>
  </w:style>
  <w:style w:type="character" w:customStyle="1" w:styleId="10">
    <w:name w:val="font41"/>
    <w:basedOn w:val="6"/>
    <w:qFormat/>
    <w:uiPriority w:val="0"/>
    <w:rPr>
      <w:rFonts w:hint="eastAsia" w:ascii="黑体" w:hAnsi="宋体" w:eastAsia="黑体" w:cs="黑体"/>
      <w:color w:val="000000"/>
      <w:sz w:val="22"/>
      <w:szCs w:val="22"/>
      <w:u w:val="none"/>
    </w:rPr>
  </w:style>
  <w:style w:type="character" w:customStyle="1" w:styleId="11">
    <w:name w:val="font61"/>
    <w:basedOn w:val="6"/>
    <w:autoRedefine/>
    <w:qFormat/>
    <w:uiPriority w:val="0"/>
    <w:rPr>
      <w:rFonts w:hint="eastAsia" w:ascii="黑体" w:hAnsi="宋体" w:eastAsia="黑体" w:cs="黑体"/>
      <w:color w:val="000000"/>
      <w:sz w:val="26"/>
      <w:szCs w:val="26"/>
      <w:u w:val="none"/>
    </w:rPr>
  </w:style>
  <w:style w:type="paragraph" w:customStyle="1" w:styleId="12">
    <w:name w:val="Body text|2"/>
    <w:basedOn w:val="1"/>
    <w:autoRedefine/>
    <w:qFormat/>
    <w:uiPriority w:val="0"/>
    <w:pPr>
      <w:widowControl w:val="0"/>
      <w:shd w:val="clear" w:color="auto" w:fill="auto"/>
    </w:pPr>
    <w:rPr>
      <w:rFonts w:ascii="宋体" w:hAnsi="宋体" w:eastAsia="宋体" w:cs="宋体"/>
      <w:u w:val="none"/>
      <w:shd w:val="clear" w:color="auto" w:fill="auto"/>
      <w:lang w:val="zh-TW" w:eastAsia="zh-TW" w:bidi="zh-TW"/>
    </w:rPr>
  </w:style>
  <w:style w:type="paragraph" w:customStyle="1" w:styleId="13">
    <w:name w:val="Body text|1"/>
    <w:basedOn w:val="1"/>
    <w:qFormat/>
    <w:uiPriority w:val="0"/>
    <w:pPr>
      <w:widowControl w:val="0"/>
      <w:shd w:val="clear" w:color="auto" w:fill="auto"/>
    </w:pPr>
    <w:rPr>
      <w:rFonts w:ascii="宋体" w:hAnsi="宋体" w:eastAsia="宋体" w:cs="宋体"/>
      <w:u w:val="none"/>
      <w:shd w:val="clear" w:color="auto" w:fill="auto"/>
      <w:lang w:val="zh-TW" w:eastAsia="zh-TW" w:bidi="zh-TW"/>
    </w:rPr>
  </w:style>
  <w:style w:type="paragraph" w:customStyle="1" w:styleId="14">
    <w:name w:val="Body text|6"/>
    <w:basedOn w:val="1"/>
    <w:autoRedefine/>
    <w:qFormat/>
    <w:uiPriority w:val="0"/>
    <w:pPr>
      <w:widowControl w:val="0"/>
      <w:shd w:val="clear" w:color="auto" w:fill="auto"/>
      <w:ind w:firstLine="460"/>
    </w:pPr>
    <w:rPr>
      <w:rFonts w:ascii="宋体" w:hAnsi="宋体" w:eastAsia="宋体" w:cs="宋体"/>
      <w:sz w:val="36"/>
      <w:szCs w:val="36"/>
      <w:u w:val="none"/>
      <w:shd w:val="clear" w:color="auto" w:fill="auto"/>
      <w:lang w:val="zh-TW" w:eastAsia="zh-TW" w:bidi="zh-TW"/>
    </w:rPr>
  </w:style>
  <w:style w:type="paragraph" w:customStyle="1" w:styleId="15">
    <w:name w:val="Heading #4|1"/>
    <w:basedOn w:val="1"/>
    <w:autoRedefine/>
    <w:qFormat/>
    <w:uiPriority w:val="0"/>
    <w:pPr>
      <w:widowControl w:val="0"/>
      <w:shd w:val="clear" w:color="auto" w:fill="auto"/>
      <w:spacing w:after="130"/>
      <w:ind w:firstLine="410"/>
      <w:outlineLvl w:val="3"/>
    </w:pPr>
    <w:rPr>
      <w:rFonts w:ascii="宋体" w:hAnsi="宋体" w:eastAsia="宋体" w:cs="宋体"/>
      <w:color w:val="D8463E"/>
      <w:sz w:val="32"/>
      <w:szCs w:val="32"/>
      <w:u w:val="none"/>
      <w:shd w:val="clear" w:color="auto" w:fill="auto"/>
      <w:lang w:val="zh-TW" w:eastAsia="zh-TW" w:bidi="zh-TW"/>
    </w:rPr>
  </w:style>
  <w:style w:type="character" w:customStyle="1" w:styleId="16">
    <w:name w:val="font01"/>
    <w:basedOn w:val="6"/>
    <w:qFormat/>
    <w:uiPriority w:val="0"/>
    <w:rPr>
      <w:rFonts w:hint="eastAsia" w:ascii="宋体" w:hAnsi="宋体" w:eastAsia="宋体" w:cs="宋体"/>
      <w:color w:val="000000"/>
      <w:sz w:val="22"/>
      <w:szCs w:val="22"/>
      <w:u w:val="none"/>
    </w:rPr>
  </w:style>
  <w:style w:type="character" w:customStyle="1" w:styleId="17">
    <w:name w:val="font31"/>
    <w:basedOn w:val="6"/>
    <w:autoRedefine/>
    <w:qFormat/>
    <w:uiPriority w:val="0"/>
    <w:rPr>
      <w:rFonts w:hint="eastAsia" w:ascii="黑体" w:hAnsi="宋体" w:eastAsia="黑体" w:cs="黑体"/>
      <w:color w:val="000000"/>
      <w:sz w:val="22"/>
      <w:szCs w:val="22"/>
      <w:u w:val="none"/>
    </w:rPr>
  </w:style>
  <w:style w:type="paragraph" w:customStyle="1" w:styleId="18">
    <w:name w:val="Heading #3|1"/>
    <w:basedOn w:val="1"/>
    <w:autoRedefine/>
    <w:qFormat/>
    <w:uiPriority w:val="0"/>
    <w:pPr>
      <w:widowControl w:val="0"/>
      <w:shd w:val="clear" w:color="auto" w:fill="auto"/>
      <w:spacing w:after="240"/>
      <w:ind w:firstLine="420"/>
      <w:outlineLvl w:val="2"/>
    </w:pPr>
    <w:rPr>
      <w:rFonts w:ascii="宋体" w:hAnsi="宋体" w:eastAsia="宋体" w:cs="宋体"/>
      <w:color w:val="D8463E"/>
      <w:sz w:val="32"/>
      <w:szCs w:val="32"/>
      <w:u w:val="none"/>
      <w:shd w:val="clear" w:color="auto" w:fill="auto"/>
      <w:lang w:val="zh-TW" w:eastAsia="zh-TW" w:bidi="zh-TW"/>
    </w:rPr>
  </w:style>
  <w:style w:type="paragraph" w:customStyle="1" w:styleId="19">
    <w:name w:val="普通正文"/>
    <w:basedOn w:val="1"/>
    <w:autoRedefine/>
    <w:qFormat/>
    <w:uiPriority w:val="0"/>
    <w:pPr>
      <w:spacing w:line="420" w:lineRule="exact"/>
      <w:ind w:firstLine="471"/>
    </w:pPr>
    <w:rPr>
      <w:rFonts w:cs="微软雅黑"/>
      <w:color w:val="000000" w:themeColor="text1"/>
      <w:sz w:val="24"/>
      <w:szCs w:val="21"/>
      <w14:textFill>
        <w14:solidFill>
          <w14:schemeClr w14:val="tx1"/>
        </w14:solidFill>
      </w14:textFill>
    </w:rPr>
  </w:style>
  <w:style w:type="paragraph" w:customStyle="1" w:styleId="20">
    <w:name w:val="CN规则"/>
    <w:basedOn w:val="21"/>
    <w:autoRedefine/>
    <w:qFormat/>
    <w:uiPriority w:val="0"/>
    <w:pPr>
      <w:numPr>
        <w:ilvl w:val="0"/>
        <w:numId w:val="1"/>
      </w:numPr>
      <w:ind w:left="0" w:firstLine="200"/>
    </w:pPr>
  </w:style>
  <w:style w:type="paragraph" w:customStyle="1" w:styleId="21">
    <w:name w:val="规则"/>
    <w:basedOn w:val="22"/>
    <w:autoRedefine/>
    <w:qFormat/>
    <w:uiPriority w:val="0"/>
    <w:pPr>
      <w:numPr>
        <w:ilvl w:val="0"/>
        <w:numId w:val="2"/>
      </w:numPr>
    </w:pPr>
    <w:rPr>
      <w:rFonts w:cs="Arial"/>
      <w14:scene3d>
        <w14:lightRig w14:rig="threePt" w14:dir="t">
          <w14:rot w14:lat="0" w14:lon="0" w14:rev="0"/>
        </w14:lightRig>
      </w14:scene3d>
    </w:rPr>
  </w:style>
  <w:style w:type="paragraph" w:customStyle="1" w:styleId="22">
    <w:name w:val="技术规范"/>
    <w:basedOn w:val="1"/>
    <w:autoRedefine/>
    <w:qFormat/>
    <w:uiPriority w:val="0"/>
    <w:pPr>
      <w:numPr>
        <w:ilvl w:val="0"/>
        <w:numId w:val="3"/>
      </w:numPr>
      <w:spacing w:line="420" w:lineRule="exact"/>
      <w:ind w:left="0" w:firstLine="200" w:firstLineChars="200"/>
    </w:pPr>
    <w:rPr>
      <w:rFonts w:cs="微软雅黑"/>
      <w:sz w:val="24"/>
      <w:szCs w:val="21"/>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14172</Words>
  <Characters>15220</Characters>
  <Lines>0</Lines>
  <Paragraphs>0</Paragraphs>
  <TotalTime>48</TotalTime>
  <ScaleCrop>false</ScaleCrop>
  <LinksUpToDate>false</LinksUpToDate>
  <CharactersWithSpaces>15435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2021-12-31T03:52:00Z</dcterms:created>
  <dc:creator>zzz</dc:creator>
  <cp:lastModifiedBy>bob</cp:lastModifiedBy>
  <dcterms:modified xsi:type="dcterms:W3CDTF">2024-01-18T06:19:46Z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FC9F52F4C2F1440A9FA7838C5573653C</vt:lpwstr>
  </property>
</Properties>
</file>