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3</w:t>
      </w:r>
      <w:r>
        <w:rPr>
          <w:rFonts w:hint="eastAsia" w:ascii="方正小标宋简体" w:hAnsi="方正小标宋简体" w:eastAsia="方正小标宋简体" w:cs="方正小标宋简体"/>
          <w:b w:val="0"/>
          <w:bCs/>
          <w:sz w:val="44"/>
          <w:szCs w:val="44"/>
        </w:rPr>
        <w:t>数字中国创新大赛青少年AI机器人</w:t>
      </w:r>
    </w:p>
    <w:p>
      <w:pPr>
        <w:bidi w:val="0"/>
        <w:spacing w:line="360" w:lineRule="auto"/>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rPr>
        <w:t>赛道</w:t>
      </w:r>
      <w:r>
        <w:rPr>
          <w:rFonts w:hint="eastAsia" w:ascii="方正小标宋简体" w:hAnsi="方正小标宋简体" w:eastAsia="方正小标宋简体" w:cs="方正小标宋简体"/>
          <w:b w:val="0"/>
          <w:bCs/>
          <w:sz w:val="44"/>
          <w:szCs w:val="44"/>
          <w:lang w:val="en-US" w:eastAsia="zh-CN"/>
        </w:rPr>
        <w:t>-人工智能机器人比赛规则（初中组）</w:t>
      </w:r>
    </w:p>
    <w:p>
      <w:pPr>
        <w:bidi w:val="0"/>
        <w:spacing w:line="360" w:lineRule="auto"/>
        <w:jc w:val="center"/>
        <w:rPr>
          <w:rFonts w:hint="default" w:ascii="方正小标宋简体" w:hAnsi="方正小标宋简体" w:eastAsia="方正小标宋简体" w:cs="方正小标宋简体"/>
          <w:b w:val="0"/>
          <w:bCs/>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赛项介绍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黑体" w:hAnsi="黑体" w:eastAsia="黑体" w:cs="黑体"/>
          <w:sz w:val="21"/>
          <w:szCs w:val="21"/>
          <w:lang w:val="en-US" w:eastAsia="zh-CN"/>
        </w:rPr>
      </w:pPr>
      <w:r>
        <w:rPr>
          <w:rFonts w:hint="eastAsia" w:ascii="仿宋" w:hAnsi="仿宋" w:eastAsia="仿宋" w:cs="仿宋"/>
          <w:b/>
          <w:bCs/>
          <w:color w:val="FF0000"/>
          <w:kern w:val="0"/>
          <w:sz w:val="22"/>
          <w:szCs w:val="22"/>
          <w:lang w:val="en-US" w:eastAsia="zh-CN"/>
        </w:rPr>
        <w:t>青少年AI机器人赛道-人工智能机器人比赛（初中组）</w:t>
      </w:r>
      <w:r>
        <w:rPr>
          <w:rFonts w:hint="eastAsia" w:ascii="仿宋" w:hAnsi="仿宋" w:eastAsia="仿宋" w:cs="仿宋"/>
          <w:color w:val="auto"/>
          <w:kern w:val="0"/>
          <w:sz w:val="22"/>
          <w:szCs w:val="22"/>
          <w:lang w:val="en-US" w:eastAsia="zh-CN"/>
        </w:rPr>
        <w:t>是面向义务教育初级中学阶段的在校学生推出的对抗类赛项。该赛项充分融合了竞技赛事的精髓，具有强观赏性和趣味性。比赛考察选手从0到1设计基础的机器人形态，体系化培养参赛选手机器人设计、机械结构搭建、编程的综合能力。同时，竞技对抗的形式，提升选手对临场问题的解决能力及策略思考能力。</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参赛要求</w:t>
      </w:r>
    </w:p>
    <w:p>
      <w:pPr>
        <w:numPr>
          <w:ilvl w:val="0"/>
          <w:numId w:val="0"/>
        </w:numPr>
        <w:spacing w:line="360" w:lineRule="auto"/>
        <w:ind w:firstLine="560" w:firstLineChars="0"/>
        <w:jc w:val="left"/>
        <w:rPr>
          <w:rFonts w:hint="eastAsia" w:ascii="仿宋" w:hAnsi="仿宋" w:eastAsia="仿宋" w:cs="仿宋"/>
          <w:kern w:val="0"/>
          <w:sz w:val="22"/>
          <w:szCs w:val="22"/>
          <w:lang w:val="en-US" w:eastAsia="zh-CN"/>
        </w:rPr>
      </w:pPr>
      <w:r>
        <w:rPr>
          <w:rFonts w:hint="eastAsia" w:ascii="仿宋" w:hAnsi="仿宋" w:eastAsia="仿宋" w:cs="仿宋"/>
          <w:color w:val="auto"/>
          <w:kern w:val="0"/>
          <w:sz w:val="22"/>
          <w:szCs w:val="22"/>
          <w:lang w:val="en-US" w:eastAsia="zh-CN"/>
        </w:rPr>
        <w:t>人数要求：</w:t>
      </w:r>
      <w:r>
        <w:rPr>
          <w:rFonts w:hint="eastAsia" w:ascii="仿宋" w:hAnsi="仿宋" w:eastAsia="仿宋" w:cs="仿宋"/>
          <w:b w:val="0"/>
          <w:bCs w:val="0"/>
          <w:color w:val="auto"/>
          <w:kern w:val="0"/>
          <w:sz w:val="22"/>
          <w:szCs w:val="22"/>
          <w:lang w:val="en-US" w:eastAsia="zh-CN"/>
        </w:rPr>
        <w:t>人工智能机器人比赛</w:t>
      </w:r>
      <w:r>
        <w:rPr>
          <w:rFonts w:hint="eastAsia" w:ascii="仿宋" w:hAnsi="仿宋" w:eastAsia="仿宋" w:cs="仿宋"/>
          <w:b w:val="0"/>
          <w:bCs w:val="0"/>
          <w:color w:val="auto"/>
          <w:kern w:val="0"/>
          <w:sz w:val="22"/>
          <w:szCs w:val="22"/>
        </w:rPr>
        <w:t>以</w:t>
      </w:r>
      <w:r>
        <w:rPr>
          <w:rFonts w:hint="eastAsia" w:ascii="仿宋" w:hAnsi="仿宋" w:eastAsia="仿宋" w:cs="仿宋"/>
          <w:b w:val="0"/>
          <w:bCs w:val="0"/>
          <w:color w:val="auto"/>
          <w:kern w:val="0"/>
          <w:sz w:val="22"/>
          <w:szCs w:val="22"/>
          <w:lang w:val="en-US" w:eastAsia="zh-CN"/>
        </w:rPr>
        <w:t>战队</w:t>
      </w:r>
      <w:r>
        <w:rPr>
          <w:rFonts w:hint="eastAsia" w:ascii="仿宋" w:hAnsi="仿宋" w:eastAsia="仿宋" w:cs="仿宋"/>
          <w:b w:val="0"/>
          <w:bCs w:val="0"/>
          <w:color w:val="auto"/>
          <w:kern w:val="0"/>
          <w:sz w:val="22"/>
          <w:szCs w:val="22"/>
        </w:rPr>
        <w:t>形式参赛</w:t>
      </w:r>
      <w:r>
        <w:rPr>
          <w:rFonts w:hint="eastAsia" w:ascii="仿宋" w:hAnsi="仿宋" w:eastAsia="仿宋" w:cs="仿宋"/>
          <w:color w:val="auto"/>
          <w:kern w:val="0"/>
          <w:sz w:val="22"/>
          <w:szCs w:val="22"/>
        </w:rPr>
        <w:t>，</w:t>
      </w:r>
      <w:r>
        <w:rPr>
          <w:rFonts w:hint="eastAsia" w:ascii="仿宋" w:hAnsi="仿宋" w:eastAsia="仿宋" w:cs="仿宋"/>
          <w:color w:val="auto"/>
          <w:kern w:val="0"/>
          <w:sz w:val="22"/>
          <w:szCs w:val="22"/>
          <w:lang w:val="en-US" w:eastAsia="zh-CN"/>
        </w:rPr>
        <w:t>每支战队由两名成员使用两台战车</w:t>
      </w:r>
      <w:r>
        <w:rPr>
          <w:rFonts w:hint="eastAsia" w:ascii="仿宋" w:hAnsi="仿宋" w:eastAsia="仿宋" w:cs="仿宋"/>
          <w:color w:val="auto"/>
          <w:kern w:val="0"/>
          <w:sz w:val="22"/>
          <w:szCs w:val="22"/>
        </w:rPr>
        <w:t>和1名指导教师</w:t>
      </w:r>
      <w:r>
        <w:rPr>
          <w:rFonts w:hint="eastAsia" w:ascii="仿宋" w:hAnsi="仿宋" w:eastAsia="仿宋" w:cs="仿宋"/>
          <w:color w:val="auto"/>
          <w:kern w:val="0"/>
          <w:sz w:val="22"/>
          <w:szCs w:val="22"/>
          <w:lang w:val="en-US" w:eastAsia="zh-CN"/>
        </w:rPr>
        <w:t>组成</w:t>
      </w:r>
      <w:r>
        <w:rPr>
          <w:rFonts w:hint="eastAsia" w:ascii="仿宋" w:hAnsi="仿宋" w:eastAsia="仿宋" w:cs="仿宋"/>
          <w:color w:val="auto"/>
          <w:kern w:val="0"/>
          <w:sz w:val="22"/>
          <w:szCs w:val="22"/>
        </w:rPr>
        <w:t>。参赛</w:t>
      </w:r>
      <w:r>
        <w:rPr>
          <w:rFonts w:hint="eastAsia" w:ascii="仿宋" w:hAnsi="仿宋" w:eastAsia="仿宋" w:cs="仿宋"/>
          <w:color w:val="auto"/>
          <w:kern w:val="0"/>
          <w:sz w:val="22"/>
          <w:szCs w:val="22"/>
          <w:lang w:val="en-US" w:eastAsia="zh-CN"/>
        </w:rPr>
        <w:t>战队</w:t>
      </w:r>
      <w:r>
        <w:rPr>
          <w:rFonts w:hint="eastAsia" w:ascii="仿宋" w:hAnsi="仿宋" w:eastAsia="仿宋" w:cs="仿宋"/>
          <w:color w:val="auto"/>
          <w:kern w:val="0"/>
          <w:sz w:val="22"/>
          <w:szCs w:val="22"/>
        </w:rPr>
        <w:t>应由同一学校师生组成。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年龄要求：参赛队员必须为义务教育初级中学阶段的在校学生。指导老师必须年满18周岁。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赛程赛制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黑体" w:hAnsi="黑体" w:eastAsia="黑体" w:cs="黑体"/>
          <w:b/>
          <w:bCs/>
          <w:color w:val="FF0000"/>
          <w:sz w:val="24"/>
          <w:szCs w:val="24"/>
          <w:lang w:val="en-US" w:eastAsia="zh-CN"/>
        </w:rPr>
        <w:t xml:space="preserve">   3.1机器人检录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r>
        <w:rPr>
          <w:rFonts w:hint="eastAsia" w:ascii="仿宋" w:hAnsi="仿宋" w:eastAsia="仿宋" w:cs="仿宋"/>
          <w:color w:val="auto"/>
          <w:kern w:val="0"/>
          <w:sz w:val="22"/>
          <w:szCs w:val="22"/>
          <w:lang w:val="en-US" w:eastAsia="zh-CN"/>
        </w:rPr>
        <w:t>检录员将严格按照检录要求对参赛战队的机器人进行安全检查。参赛战队可以查阅“</w:t>
      </w:r>
      <w:r>
        <w:rPr>
          <w:rFonts w:hint="eastAsia" w:ascii="仿宋" w:hAnsi="仿宋" w:eastAsia="仿宋" w:cs="仿宋"/>
          <w:b/>
          <w:bCs/>
          <w:color w:val="FF0000"/>
          <w:kern w:val="0"/>
          <w:sz w:val="22"/>
          <w:szCs w:val="22"/>
          <w:lang w:val="en-US" w:eastAsia="zh-CN"/>
        </w:rPr>
        <w:t>附录：中学组机器人自检表</w:t>
      </w:r>
      <w:r>
        <w:rPr>
          <w:rFonts w:hint="eastAsia" w:ascii="仿宋" w:hAnsi="仿宋" w:eastAsia="仿宋" w:cs="仿宋"/>
          <w:color w:val="auto"/>
          <w:kern w:val="0"/>
          <w:sz w:val="22"/>
          <w:szCs w:val="22"/>
          <w:lang w:val="en-US" w:eastAsia="zh-CN"/>
        </w:rPr>
        <w:t>”预先检查自己的机器人。正式比赛前还会对机器人进行赛前检录。未通过检录的机器人需重新调整后再次检录直至检录通过，机器人检录未通过的战队不得参加比赛。机器人检录环节还将对战队自制的环保旗帜进行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3.2赛程公布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组委会将在比赛开始前至少30分钟，通过线上或线下渠道进行赛程公布（包含对阵表、比赛场次及时间、红蓝方信息）。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3.2.1资格排位赛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常规赛事中，每个队伍将进行资格排位赛，资格排位赛阶段，红蓝双方由系统自动匹配，参赛队伍根据比赛胜负关系获取胜平积分。资格排位赛以队伍对抗形式进行，每轮比赛的对手将由系统随机分配。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每场资格排位赛中，队伍均将获得胜平负分，其分值与赛事等级无关。如获胜则将获得3分，平局将获得1分，战败无法获得分数。排位分为胜负分之和，最终按照排位分进行排名，排名靠前的战队将晋级淘汰赛，若有队伍排位分相同，则按以下规则决出排名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(1)对比资格排位赛阶段总净胜分，得分高者排名靠前；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(2)若以上仍相同，则对比资格排位赛阶段总得分，得分高者排名靠前；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(3)若以上仍相同，则对比资格排位赛阶段单场最高分，得分高者排名靠前；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黑体" w:hAnsi="黑体" w:eastAsia="黑体" w:cs="黑体"/>
          <w:sz w:val="21"/>
          <w:szCs w:val="21"/>
          <w:lang w:val="en-US" w:eastAsia="zh-CN"/>
        </w:rPr>
      </w:pPr>
      <w:r>
        <w:rPr>
          <w:rFonts w:hint="eastAsia" w:ascii="仿宋" w:hAnsi="仿宋" w:eastAsia="仿宋" w:cs="仿宋"/>
          <w:sz w:val="21"/>
          <w:szCs w:val="21"/>
          <w:lang w:val="en-US" w:eastAsia="zh-CN"/>
        </w:rPr>
        <w:t>(4)若以上仍相同，则排名相同的战队进行一对一的加赛一场，总得分高者获胜。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3.2.2 淘汰赛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在淘汰赛阶段，队伍将按规定赛程两两对决(红蓝双方由系统自动匹配)，双方通过三局比赛决出胜负，获得“两胜” 或“一胜两平”的队伍可晋级下一轮比赛，直至选出冠亚季军。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若三局比赛，队伍出现“一胜一负一平”或“三平”的战绩，则按以下规则决出获胜的队伍：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(1)若胜负分相同，则对比本场三局比赛的总净胜分，得分高者排名靠前；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(2)若以上仍相同，则对比本场三局比赛的平均分，得分高者排名靠前；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(3)若以上仍相同，贝収寸比本场三局比赛的最高分，得分高者排名靠前;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(4)若以上仍相同，则进行加赛，直至分出胜负。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以晋级16支战队为例，淘汰赛赛程如下：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黑体" w:hAnsi="黑体" w:eastAsia="黑体" w:cs="黑体"/>
          <w:sz w:val="21"/>
          <w:szCs w:val="21"/>
          <w:lang w:val="en-US" w:eastAsia="zh-CN"/>
        </w:rPr>
      </w:pPr>
      <w:r>
        <w:drawing>
          <wp:inline distT="0" distB="0" distL="114300" distR="114300">
            <wp:extent cx="4251325" cy="7416165"/>
            <wp:effectExtent l="0" t="0" r="0" b="0"/>
            <wp:docPr id="1" name="图片 1" descr="C:\Users\zzq\Desktop\未命名文件(4).png未命名文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zq\Desktop\未命名文件(4).png未命名文件(4)"/>
                    <pic:cNvPicPr>
                      <a:picLocks noChangeAspect="1"/>
                    </pic:cNvPicPr>
                  </pic:nvPicPr>
                  <pic:blipFill>
                    <a:blip r:embed="rId5"/>
                    <a:srcRect/>
                    <a:stretch>
                      <a:fillRect/>
                    </a:stretch>
                  </pic:blipFill>
                  <pic:spPr>
                    <a:xfrm>
                      <a:off x="0" y="0"/>
                      <a:ext cx="4251325" cy="741616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比赛内容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4.1比赛主题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近一世纪以来，大量二氧化碳、水汽、氧化亚氮、甲烷等温室气体的排放, 导致地球表层变暖。解决全球变暖的方法除了主动减少温室气体的排放外，还可以借助先进的设备捕获温室气体中的二氧化碳并加以利用。收集到的二氧化碳可运用在化学品生产、可持续燃料生产、食品和饮料制造、农业和医药等方面加以利用，减少温室气体的排放，减缓气候变暖，最终实现可持续发展的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4.2玩法简介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青少年AI机器人赛道-人工智能机器人比赛（中学组）为竞技对抗赛，每场比赛分为红蓝两个战队，每个战队由2名队员使用两台战车组成。比赛包含自动控制阶段和手动控制阶段。参赛战队需要根据比赛要求，通过程序自动控制机器人或手动操控机器人来完成相应的比赛任务。比赛结束后，裁判计算双方各项任务得分之和，分数高的战队将获得比赛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drawing>
          <wp:inline distT="0" distB="0" distL="114300" distR="114300">
            <wp:extent cx="4228465" cy="2879725"/>
            <wp:effectExtent l="0" t="0" r="8255" b="63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6"/>
                    <a:stretch>
                      <a:fillRect/>
                    </a:stretch>
                  </pic:blipFill>
                  <pic:spPr>
                    <a:xfrm>
                      <a:off x="0" y="0"/>
                      <a:ext cx="4228465" cy="2879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r>
        <w:rPr>
          <w:rFonts w:hint="eastAsia" w:ascii="仿宋" w:hAnsi="仿宋" w:eastAsia="仿宋" w:cs="仿宋"/>
          <w:sz w:val="21"/>
          <w:szCs w:val="21"/>
          <w:lang w:val="en-US" w:eastAsia="zh-CN"/>
        </w:rPr>
        <w:t>比赛场地轴侧图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4.3场地说明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r>
        <w:rPr>
          <w:rFonts w:hint="eastAsia" w:ascii="仿宋" w:hAnsi="仿宋" w:eastAsia="仿宋" w:cs="仿宋"/>
          <w:sz w:val="21"/>
          <w:szCs w:val="21"/>
          <w:lang w:val="en-US" w:eastAsia="zh-CN"/>
        </w:rPr>
        <w:t>比赛场地由地图和边框组成。 场地大小为2440mm*2440mm的矩形区域，其中比赛地图尺寸为2317mm*2357mm，场地四周边框高度为255mm，厚度为15mm。主要包括CO2排放区（中央区）、启动区、CO，转化站（球门区）、旗筒、防泄漏装置区、生产区、旗帜放置区等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rPr>
          <w:rFonts w:hint="eastAsia" w:eastAsia="思源黑体 CN Regular"/>
          <w:color w:val="auto"/>
          <w:lang w:eastAsia="zh-CN"/>
        </w:rPr>
        <w:drawing>
          <wp:inline distT="0" distB="0" distL="114300" distR="114300">
            <wp:extent cx="4411345" cy="2879725"/>
            <wp:effectExtent l="0" t="0" r="8255" b="635"/>
            <wp:docPr id="16" name="图片 16" descr="16706599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0659941908"/>
                    <pic:cNvPicPr>
                      <a:picLocks noChangeAspect="1"/>
                    </pic:cNvPicPr>
                  </pic:nvPicPr>
                  <pic:blipFill>
                    <a:blip r:embed="rId7"/>
                    <a:stretch>
                      <a:fillRect/>
                    </a:stretch>
                  </pic:blipFill>
                  <pic:spPr>
                    <a:xfrm>
                      <a:off x="0" y="0"/>
                      <a:ext cx="4411345" cy="2879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场地区域说明图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场地划分为红方阵地、蓝方阵地和中央区。双方机器人仅允许在各自的阵地内完成相应的任务。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162300" cy="3239770"/>
            <wp:effectExtent l="0" t="0" r="762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162300" cy="32397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场地俯视图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 xml:space="preserve">4.3.1 </w:t>
      </w:r>
      <w:r>
        <w:rPr>
          <w:rFonts w:hint="default" w:ascii="黑体" w:hAnsi="黑体" w:eastAsia="黑体" w:cs="黑体"/>
          <w:b/>
          <w:bCs/>
          <w:color w:val="0070C0"/>
          <w:sz w:val="21"/>
          <w:szCs w:val="21"/>
          <w:lang w:val="en-US" w:eastAsia="zh-CN"/>
        </w:rPr>
        <w:t>CO2排放区（中央区） 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黑体" w:hAnsi="黑体" w:eastAsia="黑体" w:cs="黑体"/>
          <w:sz w:val="21"/>
          <w:szCs w:val="21"/>
          <w:lang w:val="en-US" w:eastAsia="zh-CN"/>
        </w:rPr>
      </w:pPr>
      <w:r>
        <w:rPr>
          <w:rFonts w:hint="eastAsia" w:ascii="仿宋" w:hAnsi="仿宋" w:eastAsia="仿宋" w:cs="仿宋"/>
          <w:sz w:val="21"/>
          <w:szCs w:val="21"/>
          <w:lang w:val="en-US" w:eastAsia="zh-CN"/>
        </w:rPr>
        <w:t>全场仅有1处CO2排放区（中央区），包括扁铝和八棱柱组成的中央隔栏，以及上方的资源摆放区。中央隔栏下方留有高度为 80mm 的间隙，仅允许黄色方块和黄色小球通过。摆放区由木板拼接而成，尺寸为 2292mm*120mm，距离地面高度为160mm。中央区摆放有碳捕捉容器（球类）、防泄漏装置（方块）。黄色方块位于摆放区正中间，两边对称摆放绿色大球、黄色小球。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2188845"/>
            <wp:effectExtent l="0" t="0" r="825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319905" cy="2188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CO2排放区（中央区）示意图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 xml:space="preserve">4.3.2 </w:t>
      </w:r>
      <w:r>
        <w:rPr>
          <w:rFonts w:hint="default" w:ascii="黑体" w:hAnsi="黑体" w:eastAsia="黑体" w:cs="黑体"/>
          <w:b/>
          <w:bCs/>
          <w:color w:val="0070C0"/>
          <w:sz w:val="21"/>
          <w:szCs w:val="21"/>
          <w:lang w:val="en-US" w:eastAsia="zh-CN"/>
        </w:rPr>
        <w:t>启动区 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启动区是比赛开始前机器人静止放置的区域，位于场地的四个角落。红蓝方各有2个启动区，尺寸为 320mm*320mm。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319905" cy="2607945"/>
            <wp:effectExtent l="0" t="0" r="825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319905" cy="26079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sz w:val="21"/>
          <w:szCs w:val="21"/>
          <w:lang w:val="en-US" w:eastAsia="zh-CN"/>
        </w:rPr>
      </w:pPr>
      <w:r>
        <w:rPr>
          <w:rFonts w:hint="eastAsia" w:ascii="黑体" w:hAnsi="黑体" w:eastAsia="黑体" w:cs="黑体"/>
          <w:b/>
          <w:bCs/>
          <w:color w:val="0070C0"/>
          <w:sz w:val="21"/>
          <w:szCs w:val="21"/>
          <w:lang w:val="en-US" w:eastAsia="zh-CN"/>
        </w:rPr>
        <w:t xml:space="preserve">4.3.3 </w:t>
      </w:r>
      <w:r>
        <w:rPr>
          <w:rFonts w:hint="default" w:ascii="黑体" w:hAnsi="黑体" w:eastAsia="黑体" w:cs="黑体"/>
          <w:b/>
          <w:bCs/>
          <w:color w:val="0070C0"/>
          <w:sz w:val="21"/>
          <w:szCs w:val="21"/>
          <w:lang w:val="en-US" w:eastAsia="zh-CN"/>
        </w:rPr>
        <w:t>CO.转化站（球门区）</w:t>
      </w:r>
      <w:r>
        <w:rPr>
          <w:rFonts w:hint="default" w:ascii="黑体" w:hAnsi="黑体" w:eastAsia="黑体" w:cs="黑体"/>
          <w:b/>
          <w:bCs/>
          <w:sz w:val="21"/>
          <w:szCs w:val="21"/>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红蓝方各有1个CO2转化站（球门区）。球门区由金属梁和黑色球网组成，球门前方有泡沫胶门槛，两侧有魔术贴粘贴区域用于固定金属梁。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黑体" w:hAnsi="黑体" w:eastAsia="黑体" w:cs="黑体"/>
          <w:sz w:val="21"/>
          <w:szCs w:val="21"/>
          <w:lang w:val="en-US" w:eastAsia="zh-CN"/>
        </w:rPr>
      </w:pPr>
      <w:r>
        <w:rPr>
          <w:rFonts w:hint="eastAsia" w:ascii="仿宋" w:hAnsi="仿宋" w:eastAsia="仿宋" w:cs="仿宋"/>
          <w:sz w:val="21"/>
          <w:szCs w:val="21"/>
          <w:lang w:val="en-US" w:eastAsia="zh-CN"/>
        </w:rPr>
        <w:t>球网状态说明：网边内侧用扎带固定在金属梁上，网边外侧用场地边框压住网边。球网搭建完成后，网面整体呈自然下垂状态。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3308985"/>
            <wp:effectExtent l="0" t="0" r="825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4319905" cy="33089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r>
        <w:rPr>
          <w:rFonts w:hint="eastAsia" w:ascii="仿宋" w:hAnsi="仿宋" w:eastAsia="仿宋" w:cs="仿宋"/>
          <w:sz w:val="21"/>
          <w:szCs w:val="21"/>
          <w:lang w:val="en-US" w:eastAsia="zh-CN"/>
        </w:rPr>
        <w:t>球门区示意图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rPr>
          <w:rFonts w:hint="eastAsia"/>
          <w:lang w:val="en-US" w:eastAsia="zh-CN"/>
        </w:rPr>
        <w:t xml:space="preserve">         </w:t>
      </w:r>
      <w:r>
        <w:drawing>
          <wp:inline distT="0" distB="0" distL="114300" distR="114300">
            <wp:extent cx="4319905" cy="1926590"/>
            <wp:effectExtent l="0" t="0" r="8255" b="889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319905" cy="1926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球门区轴侧图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sz w:val="21"/>
          <w:szCs w:val="21"/>
          <w:lang w:val="en-US" w:eastAsia="zh-CN"/>
        </w:rPr>
      </w:pPr>
      <w:r>
        <w:rPr>
          <w:rFonts w:hint="eastAsia" w:ascii="黑体" w:hAnsi="黑体" w:eastAsia="黑体" w:cs="黑体"/>
          <w:b/>
          <w:bCs/>
          <w:color w:val="0070C0"/>
          <w:sz w:val="21"/>
          <w:szCs w:val="21"/>
          <w:lang w:val="en-US" w:eastAsia="zh-CN"/>
        </w:rPr>
        <w:t xml:space="preserve">4.3.4 </w:t>
      </w:r>
      <w:r>
        <w:rPr>
          <w:rFonts w:hint="default" w:ascii="黑体" w:hAnsi="黑体" w:eastAsia="黑体" w:cs="黑体"/>
          <w:b/>
          <w:bCs/>
          <w:color w:val="0070C0"/>
          <w:sz w:val="21"/>
          <w:szCs w:val="21"/>
          <w:lang w:val="en-US" w:eastAsia="zh-CN"/>
        </w:rPr>
        <w:t>旗筒</w:t>
      </w:r>
      <w:r>
        <w:rPr>
          <w:rFonts w:hint="default" w:ascii="黑体" w:hAnsi="黑体" w:eastAsia="黑体" w:cs="黑体"/>
          <w:b/>
          <w:bCs/>
          <w:sz w:val="21"/>
          <w:szCs w:val="21"/>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红蓝方各有 2个旗筒。旗筒包括玩偶、旗筒、底座三个部分。旗筒和玩偶均通过螺丝固定在旗筒底座上，底座再通过魔术贴粘贴在地图上。旗筒内径 46mm，高58mm。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11045" cy="2160270"/>
            <wp:effectExtent l="0" t="0" r="635"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2011045" cy="2160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1"/>
          <w:szCs w:val="21"/>
          <w:lang w:val="en-US" w:eastAsia="zh-CN"/>
        </w:rPr>
      </w:pPr>
      <w:r>
        <w:rPr>
          <w:rFonts w:hint="eastAsia" w:ascii="仿宋" w:hAnsi="仿宋" w:eastAsia="仿宋" w:cs="仿宋"/>
          <w:b w:val="0"/>
          <w:bCs w:val="0"/>
          <w:sz w:val="21"/>
          <w:szCs w:val="21"/>
          <w:lang w:val="en-US" w:eastAsia="zh-CN"/>
        </w:rPr>
        <w:t>旗筒示意图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 xml:space="preserve">4.3.5 </w:t>
      </w:r>
      <w:r>
        <w:rPr>
          <w:rFonts w:hint="default" w:ascii="黑体" w:hAnsi="黑体" w:eastAsia="黑体" w:cs="黑体"/>
          <w:b/>
          <w:bCs/>
          <w:color w:val="0070C0"/>
          <w:sz w:val="21"/>
          <w:szCs w:val="21"/>
          <w:lang w:val="en-US" w:eastAsia="zh-CN"/>
        </w:rPr>
        <w:t>防泄漏装置区（装置区）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防泄漏装置区（装置区）是位于球门正前方的长方形区域，红蓝方各有1 个装置区，尺寸为1070mm*100mm。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1191895"/>
            <wp:effectExtent l="0" t="0" r="8255" b="1206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4319905" cy="1191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1"/>
          <w:szCs w:val="21"/>
          <w:lang w:val="en-US" w:eastAsia="zh-CN"/>
        </w:rPr>
      </w:pPr>
      <w:r>
        <w:rPr>
          <w:rFonts w:hint="eastAsia" w:ascii="仿宋" w:hAnsi="仿宋" w:eastAsia="仿宋" w:cs="仿宋"/>
          <w:b w:val="0"/>
          <w:bCs w:val="0"/>
          <w:sz w:val="21"/>
          <w:szCs w:val="21"/>
          <w:lang w:val="en-US" w:eastAsia="zh-CN"/>
        </w:rPr>
        <w:t>装置区示意图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4.3.6 生产区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红蓝方各有1处生产区，包括菱形区域和方块线框。生产区内摆放防泄漏装置（黄色方块）和碳捕捉容器（球类）。菱形区域四周留有 10mm 宽的区域粘贴魔术贴。方块线框4个，在比赛开始前会通过抽签方式抽取其中2个摆放防泄漏装置。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2400300"/>
            <wp:effectExtent l="0" t="0" r="8255"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4319905" cy="24003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r>
        <w:rPr>
          <w:rFonts w:hint="eastAsia" w:ascii="仿宋" w:hAnsi="仿宋" w:eastAsia="仿宋" w:cs="仿宋"/>
          <w:sz w:val="21"/>
          <w:szCs w:val="21"/>
          <w:lang w:val="en-US" w:eastAsia="zh-CN"/>
        </w:rPr>
        <w:t>生产区示意图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4.3.7旗帜放置区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color w:val="auto"/>
          <w:sz w:val="21"/>
          <w:szCs w:val="21"/>
          <w:lang w:val="en-US" w:eastAsia="zh-CN"/>
        </w:rPr>
        <w:t>红蓝方各有2处旗帜放置区，为靠近两侧边框的方形线框区域。旗帜放置区用来放置参赛队伍自制的旗帜道具，全场共计4个，红、蓝双方各2个。比赛开始前，选手需要将自己的自制旗帜道具放置在该位置；自制旗帜道具的底面必须完全进入此区域并呈现直立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eastAsia="思源黑体 CN Regular"/>
          <w:highlight w:val="none"/>
          <w:lang w:eastAsia="zh-CN"/>
        </w:rPr>
      </w:pPr>
      <w:r>
        <w:rPr>
          <w:rFonts w:hint="eastAsia" w:eastAsia="思源黑体 CN Regular"/>
          <w:highlight w:val="none"/>
          <w:lang w:eastAsia="zh-CN"/>
        </w:rPr>
        <w:drawing>
          <wp:inline distT="0" distB="0" distL="114300" distR="114300">
            <wp:extent cx="4350385" cy="1800225"/>
            <wp:effectExtent l="0" t="0" r="8255" b="13335"/>
            <wp:docPr id="30" name="图片 30" descr="167065814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0658145273"/>
                    <pic:cNvPicPr>
                      <a:picLocks noChangeAspect="1"/>
                    </pic:cNvPicPr>
                  </pic:nvPicPr>
                  <pic:blipFill>
                    <a:blip r:embed="rId16"/>
                    <a:stretch>
                      <a:fillRect/>
                    </a:stretch>
                  </pic:blipFill>
                  <pic:spPr>
                    <a:xfrm>
                      <a:off x="0" y="0"/>
                      <a:ext cx="435038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r>
        <w:rPr>
          <w:rFonts w:hint="eastAsia" w:ascii="仿宋" w:hAnsi="仿宋" w:eastAsia="仿宋" w:cs="仿宋"/>
          <w:sz w:val="21"/>
          <w:szCs w:val="21"/>
          <w:lang w:val="en-US" w:eastAsia="zh-CN"/>
        </w:rPr>
        <w:t>旗帜放置区示意图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4.4道具清单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4"/>
          <w:szCs w:val="24"/>
          <w:lang w:val="en-US" w:eastAsia="zh-CN"/>
        </w:rPr>
      </w:pPr>
      <w:r>
        <w:rPr>
          <w:rFonts w:hint="eastAsia" w:ascii="黑体" w:hAnsi="黑体" w:eastAsia="黑体" w:cs="黑体"/>
          <w:b/>
          <w:bCs/>
          <w:color w:val="0070C0"/>
          <w:sz w:val="21"/>
          <w:szCs w:val="21"/>
          <w:lang w:val="en-US" w:eastAsia="zh-CN"/>
        </w:rPr>
        <w:t>4.4.1 碳捕捉容器（球类）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碳捕捉容器为场上的黄色小球和绿色大球，初始摆放位置位于中央区和生产区。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材质：EVA；尺寸：黄色小球直径为70mm,绿色大球直径为100mm；数 量：黄色小球全场共16个；绿色大球全场共6个。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879725" cy="1713865"/>
            <wp:effectExtent l="0" t="0" r="635"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2879725" cy="1713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碳捕捉容器（球类）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4"/>
          <w:szCs w:val="24"/>
          <w:lang w:val="en-US" w:eastAsia="zh-CN"/>
        </w:rPr>
      </w:pPr>
      <w:r>
        <w:rPr>
          <w:rFonts w:hint="eastAsia" w:ascii="黑体" w:hAnsi="黑体" w:eastAsia="黑体" w:cs="黑体"/>
          <w:b/>
          <w:bCs/>
          <w:color w:val="0070C0"/>
          <w:sz w:val="21"/>
          <w:szCs w:val="21"/>
          <w:lang w:val="en-US" w:eastAsia="zh-CN"/>
        </w:rPr>
        <w:t>4.4.2 防泄漏装置（方块）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防泄漏装置为黄色方块。材质：EVA；尺寸：边长70mm；数量：全场共5 个，其中双方生产区内各2个，中央区1个。</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879725" cy="1699260"/>
            <wp:effectExtent l="0" t="0" r="635" b="762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8"/>
                    <a:stretch>
                      <a:fillRect/>
                    </a:stretch>
                  </pic:blipFill>
                  <pic:spPr>
                    <a:xfrm>
                      <a:off x="0" y="0"/>
                      <a:ext cx="2879725" cy="1699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防泄漏装置（方块）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 xml:space="preserve">4.4.3 </w:t>
      </w:r>
      <w:r>
        <w:rPr>
          <w:rFonts w:hint="default" w:ascii="黑体" w:hAnsi="黑体" w:eastAsia="黑体" w:cs="黑体"/>
          <w:b/>
          <w:bCs/>
          <w:color w:val="0070C0"/>
          <w:sz w:val="21"/>
          <w:szCs w:val="21"/>
          <w:lang w:val="en-US" w:eastAsia="zh-CN"/>
        </w:rPr>
        <w:t>环保旗帜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环保旗帜由队伍自行制作。旗面尺寸不小于80mm*60mm，旗杆直径小于旗筒内径，长度不小于 100mm。具体制作规范请参考"5.2 环保旗帜规范"。</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r>
        <w:drawing>
          <wp:anchor distT="0" distB="0" distL="114300" distR="114300" simplePos="0" relativeHeight="251660288" behindDoc="0" locked="0" layoutInCell="1" allowOverlap="1">
            <wp:simplePos x="0" y="0"/>
            <wp:positionH relativeFrom="column">
              <wp:posOffset>2319020</wp:posOffset>
            </wp:positionH>
            <wp:positionV relativeFrom="paragraph">
              <wp:posOffset>52705</wp:posOffset>
            </wp:positionV>
            <wp:extent cx="1066800" cy="1219200"/>
            <wp:effectExtent l="0" t="0" r="0" b="0"/>
            <wp:wrapSquare wrapText="bothSides"/>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1066800" cy="121920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r>
        <w:rPr>
          <w:rFonts w:hint="eastAsia" w:ascii="黑体" w:hAnsi="黑体" w:eastAsia="黑体" w:cs="黑体"/>
          <w:i w:val="0"/>
          <w:iCs w:val="0"/>
          <w:kern w:val="2"/>
          <w:sz w:val="21"/>
          <w:szCs w:val="21"/>
          <w:u w:val="none"/>
          <w:shd w:val="clear"/>
          <w:lang w:val="en-US" w:eastAsia="zh-CN" w:bidi="ar-SA"/>
        </w:rPr>
        <w:t xml:space="preserve">                       </w:t>
      </w:r>
    </w:p>
    <w:p>
      <w:pPr>
        <w:pStyle w:val="7"/>
        <w:keepNext w:val="0"/>
        <w:keepLines w:val="0"/>
        <w:widowControl w:val="0"/>
        <w:shd w:val="clear" w:color="auto" w:fill="auto"/>
        <w:bidi w:val="0"/>
        <w:spacing w:before="0" w:after="0" w:line="413" w:lineRule="exact"/>
        <w:ind w:left="0" w:right="0" w:firstLine="480"/>
        <w:jc w:val="center"/>
        <w:rPr>
          <w:rFonts w:hint="default" w:ascii="黑体" w:hAnsi="黑体" w:eastAsia="黑体" w:cs="黑体"/>
          <w:i w:val="0"/>
          <w:iCs w:val="0"/>
          <w:kern w:val="2"/>
          <w:sz w:val="21"/>
          <w:szCs w:val="21"/>
          <w:u w:val="none"/>
          <w:shd w:val="clear"/>
          <w:lang w:val="en-US" w:eastAsia="zh-CN" w:bidi="ar-SA"/>
        </w:rPr>
      </w:pPr>
      <w:r>
        <w:rPr>
          <w:rFonts w:hint="default" w:ascii="黑体" w:hAnsi="黑体" w:eastAsia="黑体" w:cs="黑体"/>
          <w:i w:val="0"/>
          <w:iCs w:val="0"/>
          <w:kern w:val="2"/>
          <w:sz w:val="21"/>
          <w:szCs w:val="21"/>
          <w:u w:val="none"/>
          <w:shd w:val="clear"/>
          <w:lang w:val="en-US" w:eastAsia="zh-CN" w:bidi="ar-SA"/>
        </w:rPr>
        <w:t>环保旗帜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注∶所有场地及道具均有一定的合理公差，如开赛前参赛队伍队长对道具尺寸等方面存在异议可申请更换，当值裁判将根据实际情况决定是否替换。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4.5任务介绍及得分判定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比赛总时间为 4 分钟，包括自动控制阶段（（30秒）和手动控制阶段（3 分30秒），每个阶段选手需要完成任务见下表。在每个阶段开始和结束时，裁判会通过读秒提示选手。比赛阶段具体说明请参考"4.7 单场比赛流程"。</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tbl>
      <w:tblPr>
        <w:tblStyle w:val="5"/>
        <w:tblW w:w="8232"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4"/>
        <w:gridCol w:w="1642"/>
        <w:gridCol w:w="5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righ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阶段及时间</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比赛任务</w:t>
            </w:r>
          </w:p>
        </w:tc>
        <w:tc>
          <w:tcPr>
            <w:tcW w:w="5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任务内容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right"/>
        </w:trPr>
        <w:tc>
          <w:tcPr>
            <w:tcW w:w="133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自动控制阶段</w:t>
            </w:r>
          </w:p>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（30秒）</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安装防泄漏装置</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运行自动程序，使本方生产区内的方块完全进入本方装置区内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right"/>
        </w:trPr>
        <w:tc>
          <w:tcPr>
            <w:tcW w:w="1334"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转移碳捕捉容器</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运行自动程序，使本方生产区内的球进入对方球门内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jc w:val="right"/>
        </w:trPr>
        <w:tc>
          <w:tcPr>
            <w:tcW w:w="133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18"/>
                <w:szCs w:val="18"/>
                <w:u w:val="none"/>
                <w:lang w:val="en-US" w:eastAsia="zh-CN" w:bidi="ar"/>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18"/>
                <w:szCs w:val="18"/>
                <w:u w:val="none"/>
                <w:lang w:val="en-US" w:eastAsia="zh-CN" w:bidi="ar-SA"/>
              </w:rPr>
            </w:pPr>
            <w:r>
              <w:rPr>
                <w:rFonts w:hint="eastAsia" w:ascii="黑体" w:hAnsi="宋体" w:eastAsia="黑体" w:cs="黑体"/>
                <w:i w:val="0"/>
                <w:iCs w:val="0"/>
                <w:color w:val="000000"/>
                <w:kern w:val="0"/>
                <w:sz w:val="18"/>
                <w:szCs w:val="18"/>
                <w:u w:val="none"/>
                <w:lang w:val="en-US" w:eastAsia="zh-CN" w:bidi="ar"/>
              </w:rPr>
              <w:t>插入环保旗帜</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kern w:val="2"/>
                <w:sz w:val="18"/>
                <w:szCs w:val="18"/>
                <w:u w:val="none"/>
                <w:lang w:val="en-US" w:eastAsia="zh-CN" w:bidi="ar-SA"/>
              </w:rPr>
            </w:pPr>
            <w:r>
              <w:rPr>
                <w:rFonts w:hint="eastAsia" w:ascii="黑体" w:hAnsi="宋体" w:eastAsia="黑体" w:cs="黑体"/>
                <w:i w:val="0"/>
                <w:iCs w:val="0"/>
                <w:color w:val="000000"/>
                <w:kern w:val="0"/>
                <w:sz w:val="18"/>
                <w:szCs w:val="18"/>
                <w:u w:val="none"/>
                <w:lang w:val="en-US" w:eastAsia="zh-CN" w:bidi="ar"/>
              </w:rPr>
              <w:t>操控机器人，将环保旗帜插入本方旗筒内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right"/>
        </w:trPr>
        <w:tc>
          <w:tcPr>
            <w:tcW w:w="13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手动控制阶段</w:t>
            </w:r>
          </w:p>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（3分30秒）</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安装防泄漏装置</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操控机器人，使本方阵地或中央区的方块完全进入本方装置区内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right"/>
        </w:trPr>
        <w:tc>
          <w:tcPr>
            <w:tcW w:w="13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转移碳捕捉容器</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操控机器人，使本方阵地或中央区的球进入对方球门内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jc w:val="right"/>
        </w:trPr>
        <w:tc>
          <w:tcPr>
            <w:tcW w:w="13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插入环保旗帜</w:t>
            </w:r>
          </w:p>
        </w:tc>
        <w:tc>
          <w:tcPr>
            <w:tcW w:w="5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操控机器人，将环保旗帜插入本方旗筒内</w:t>
            </w:r>
          </w:p>
        </w:tc>
      </w:tr>
    </w:tbl>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4.5.1 安装防泄漏装置</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任务描述∶本任务可在自动控制阶段和手动控制阶段完成。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自动控制阶段，机器人须通过运行自动程序，使本方生产区的方块完全进入本方装置区内。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手动控制阶段，选手操控机器人，使本方阵地或中央区的方块完全进入本方装置区内。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得分判定∶比赛结束时，方块完全进入装置区内，且与机器人无接触即可得分。完全进入是指方块的垂直投影面完全位于装置区内。每成功移入一个方块得40 分，有效得分方块最多3个。</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drawing>
          <wp:anchor distT="0" distB="0" distL="114300" distR="114300" simplePos="0" relativeHeight="251661312" behindDoc="0" locked="0" layoutInCell="1" allowOverlap="1">
            <wp:simplePos x="0" y="0"/>
            <wp:positionH relativeFrom="column">
              <wp:posOffset>699770</wp:posOffset>
            </wp:positionH>
            <wp:positionV relativeFrom="paragraph">
              <wp:posOffset>28575</wp:posOffset>
            </wp:positionV>
            <wp:extent cx="4319905" cy="674370"/>
            <wp:effectExtent l="0" t="0" r="8255" b="11430"/>
            <wp:wrapSquare wrapText="bothSides"/>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0"/>
                    <a:stretch>
                      <a:fillRect/>
                    </a:stretch>
                  </pic:blipFill>
                  <pic:spPr>
                    <a:xfrm>
                      <a:off x="0" y="0"/>
                      <a:ext cx="4319905" cy="67437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方块得分状态判定</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4.5.2 转移碳捕捉容器</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任务描述∶本任务可在自动阶段和手动阶段完成。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自动控制阶段，机器人运行自动程序，通过推动或抛射等方式使本方生产区内的球进入对方球门内;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手动控制阶段，选手操控机器人，通过推动或抛射等方式使本方阵地或中央区的球进入对方球门内。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得分判定∶比赛结束时，球进入球门和球网内侧，且满足以下两种状态条件之一即可得分∶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a.球与球门区域地图有直接接触，且不与球门外侧地图接触;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b.球与球门区域地图有间接接触，且球的垂直投影面完全位于球门区域内。 每成功送入一个绿色大球得60分；每成功送入一个黄色小球得30分。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sz w:val="21"/>
          <w:szCs w:val="21"/>
          <w:lang w:val="en-US" w:eastAsia="zh-CN" w:bidi="ar-SA"/>
        </w:rPr>
        <w:drawing>
          <wp:anchor distT="0" distB="0" distL="114300" distR="114300" simplePos="0" relativeHeight="251662336" behindDoc="0" locked="0" layoutInCell="1" allowOverlap="1">
            <wp:simplePos x="0" y="0"/>
            <wp:positionH relativeFrom="column">
              <wp:posOffset>748030</wp:posOffset>
            </wp:positionH>
            <wp:positionV relativeFrom="paragraph">
              <wp:posOffset>187960</wp:posOffset>
            </wp:positionV>
            <wp:extent cx="4319905" cy="677545"/>
            <wp:effectExtent l="0" t="0" r="8255" b="8255"/>
            <wp:wrapSquare wrapText="bothSides"/>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1"/>
                    <a:stretch>
                      <a:fillRect/>
                    </a:stretch>
                  </pic:blipFill>
                  <pic:spPr>
                    <a:xfrm>
                      <a:off x="0" y="0"/>
                      <a:ext cx="4319905" cy="677545"/>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firstLine="48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球类得分状态判定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4.5.3 插入环保旗帜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2"/>
          <w:sz w:val="21"/>
          <w:szCs w:val="21"/>
          <w:u w:val="none"/>
          <w:shd w:val="clear"/>
          <w:lang w:val="en-US" w:eastAsia="zh-CN" w:bidi="ar-SA"/>
        </w:rPr>
      </w:pPr>
      <w:r>
        <w:rPr>
          <w:rFonts w:hint="eastAsia" w:ascii="仿宋" w:hAnsi="仿宋" w:eastAsia="仿宋" w:cs="仿宋"/>
          <w:b/>
          <w:bCs/>
          <w:i w:val="0"/>
          <w:iCs w:val="0"/>
          <w:kern w:val="2"/>
          <w:sz w:val="21"/>
          <w:szCs w:val="21"/>
          <w:u w:val="none"/>
          <w:shd w:val="clear"/>
          <w:lang w:val="en-US" w:eastAsia="zh-CN" w:bidi="ar-SA"/>
        </w:rPr>
        <w:t>任务描述∶本任务可在自动阶段和手动阶段完成。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2"/>
          <w:sz w:val="21"/>
          <w:szCs w:val="21"/>
          <w:u w:val="none"/>
          <w:shd w:val="clear"/>
          <w:lang w:val="en-US" w:eastAsia="zh-CN" w:bidi="ar-SA"/>
        </w:rPr>
      </w:pPr>
      <w:r>
        <w:rPr>
          <w:rFonts w:hint="eastAsia" w:ascii="仿宋" w:hAnsi="仿宋" w:eastAsia="仿宋" w:cs="仿宋"/>
          <w:b w:val="0"/>
          <w:bCs w:val="0"/>
          <w:i w:val="0"/>
          <w:iCs w:val="0"/>
          <w:kern w:val="2"/>
          <w:sz w:val="21"/>
          <w:szCs w:val="21"/>
          <w:u w:val="none"/>
          <w:shd w:val="clear"/>
          <w:lang w:val="en-US" w:eastAsia="zh-CN" w:bidi="ar-SA"/>
        </w:rPr>
        <w:t>自动控制阶段，机器人运行自动程序，将环保旗帜插入本方迈迈旗筒内；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手动控制阶段，选手通过操控机器人将环保旗帜插入本方旗筒内。每个旗筒最多放置1面环保旗帜。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得分判定：环保旗帜的旗杆必须进入旗筒内部，旗面及旗杆不与地面接触，不与机器人接触，除旗筒和玩偶外不倚靠其它任何物品，包括“球网和球门”亦不可接触，即视为插旗成功。每成功插旗一面得50分。</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r>
        <w:drawing>
          <wp:anchor distT="0" distB="0" distL="114300" distR="114300" simplePos="0" relativeHeight="251663360" behindDoc="0" locked="0" layoutInCell="1" allowOverlap="1">
            <wp:simplePos x="0" y="0"/>
            <wp:positionH relativeFrom="column">
              <wp:posOffset>1717675</wp:posOffset>
            </wp:positionH>
            <wp:positionV relativeFrom="paragraph">
              <wp:posOffset>5080</wp:posOffset>
            </wp:positionV>
            <wp:extent cx="2160270" cy="1392555"/>
            <wp:effectExtent l="0" t="0" r="3810" b="9525"/>
            <wp:wrapSquare wrapText="bothSides"/>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2"/>
                    <a:stretch>
                      <a:fillRect/>
                    </a:stretch>
                  </pic:blipFill>
                  <pic:spPr>
                    <a:xfrm>
                      <a:off x="0" y="0"/>
                      <a:ext cx="2160270" cy="1392555"/>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环保旗帜得分状态判定</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4.5.4 边界状态判定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在比赛全程中，当机器人或道具与指定区域边界的相对位置状态不清晰时,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可参考以下状态判定:</w:t>
      </w:r>
    </w:p>
    <w:p>
      <w:pPr>
        <w:pStyle w:val="7"/>
        <w:keepNext w:val="0"/>
        <w:keepLines w:val="0"/>
        <w:widowControl w:val="0"/>
        <w:shd w:val="clear" w:color="auto" w:fill="auto"/>
        <w:bidi w:val="0"/>
        <w:spacing w:before="0" w:after="0" w:line="413" w:lineRule="exact"/>
        <w:ind w:right="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838835</wp:posOffset>
            </wp:positionH>
            <wp:positionV relativeFrom="paragraph">
              <wp:posOffset>123190</wp:posOffset>
            </wp:positionV>
            <wp:extent cx="4319905" cy="1654810"/>
            <wp:effectExtent l="0" t="0" r="8255" b="6350"/>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3"/>
                    <a:stretch>
                      <a:fillRect/>
                    </a:stretch>
                  </pic:blipFill>
                  <pic:spPr>
                    <a:xfrm>
                      <a:off x="0" y="0"/>
                      <a:ext cx="4319905" cy="165481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4.6计分说明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比赛最终得分以比赛</w:t>
      </w:r>
      <w:r>
        <w:rPr>
          <w:rFonts w:hint="eastAsia" w:ascii="仿宋" w:hAnsi="仿宋" w:eastAsia="仿宋" w:cs="仿宋"/>
          <w:sz w:val="21"/>
          <w:szCs w:val="21"/>
          <w:lang w:val="en-US" w:eastAsia="zh-CN"/>
        </w:rPr>
        <w:t>结束后，得分道具的最终静止状态为准。比赛任务得分道具及对应的分值如下所示。比赛结束后，裁判计算双方各项任务得分之和,分数高的队伍将获得比赛胜利。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单场比赛队伍得分＝方块得分+大球得分+小球得分+环保旗帜得分-违规扣分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sz w:val="24"/>
          <w:szCs w:val="24"/>
          <w:lang w:val="en-US" w:eastAsia="zh-CN"/>
        </w:rPr>
      </w:pPr>
    </w:p>
    <w:tbl>
      <w:tblPr>
        <w:tblStyle w:val="5"/>
        <w:tblpPr w:leftFromText="180" w:rightFromText="180" w:vertAnchor="text" w:horzAnchor="page" w:tblpXSpec="center" w:tblpY="6"/>
        <w:tblOverlap w:val="never"/>
        <w:tblW w:w="0" w:type="auto"/>
        <w:jc w:val="center"/>
        <w:tblLayout w:type="fixed"/>
        <w:tblCellMar>
          <w:top w:w="0" w:type="dxa"/>
          <w:left w:w="10" w:type="dxa"/>
          <w:bottom w:w="0" w:type="dxa"/>
          <w:right w:w="10" w:type="dxa"/>
        </w:tblCellMar>
      </w:tblPr>
      <w:tblGrid>
        <w:gridCol w:w="1547"/>
        <w:gridCol w:w="1427"/>
        <w:gridCol w:w="1533"/>
        <w:gridCol w:w="1774"/>
        <w:gridCol w:w="1387"/>
      </w:tblGrid>
      <w:tr>
        <w:tblPrEx>
          <w:tblCellMar>
            <w:top w:w="0" w:type="dxa"/>
            <w:left w:w="10" w:type="dxa"/>
            <w:bottom w:w="0" w:type="dxa"/>
            <w:right w:w="10" w:type="dxa"/>
          </w:tblCellMar>
        </w:tblPrEx>
        <w:trPr>
          <w:trHeight w:val="504" w:hRule="exact"/>
          <w:jc w:val="center"/>
        </w:trPr>
        <w:tc>
          <w:tcPr>
            <w:tcW w:w="154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比赛任务</w:t>
            </w:r>
          </w:p>
        </w:tc>
        <w:tc>
          <w:tcPr>
            <w:tcW w:w="142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得分道具</w:t>
            </w:r>
          </w:p>
        </w:tc>
        <w:tc>
          <w:tcPr>
            <w:tcW w:w="1533"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单个道具得分</w:t>
            </w:r>
          </w:p>
        </w:tc>
        <w:tc>
          <w:tcPr>
            <w:tcW w:w="1774"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黑体" w:hAnsi="黑体" w:eastAsia="黑体" w:cs="黑体"/>
                <w:i w:val="0"/>
                <w:iCs w:val="0"/>
                <w:color w:val="000000"/>
                <w:spacing w:val="0"/>
                <w:w w:val="100"/>
                <w:position w:val="0"/>
                <w:sz w:val="18"/>
                <w:szCs w:val="18"/>
                <w:lang w:val="en-US" w:eastAsia="zh-CN"/>
              </w:rPr>
            </w:pPr>
            <w:r>
              <w:rPr>
                <w:rFonts w:hint="eastAsia" w:ascii="黑体" w:hAnsi="黑体" w:eastAsia="黑体" w:cs="黑体"/>
                <w:i w:val="0"/>
                <w:iCs w:val="0"/>
                <w:color w:val="000000"/>
                <w:spacing w:val="0"/>
                <w:w w:val="100"/>
                <w:position w:val="0"/>
                <w:sz w:val="18"/>
                <w:szCs w:val="18"/>
                <w:lang w:val="en-US" w:eastAsia="zh-CN"/>
              </w:rPr>
              <w:t>得分道具数量上限</w:t>
            </w:r>
          </w:p>
        </w:tc>
        <w:tc>
          <w:tcPr>
            <w:tcW w:w="1387"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任务得分上限</w:t>
            </w:r>
          </w:p>
        </w:tc>
      </w:tr>
      <w:tr>
        <w:tblPrEx>
          <w:tblCellMar>
            <w:top w:w="0" w:type="dxa"/>
            <w:left w:w="10" w:type="dxa"/>
            <w:bottom w:w="0" w:type="dxa"/>
            <w:right w:w="10" w:type="dxa"/>
          </w:tblCellMar>
        </w:tblPrEx>
        <w:trPr>
          <w:trHeight w:val="499" w:hRule="exact"/>
          <w:jc w:val="center"/>
        </w:trPr>
        <w:tc>
          <w:tcPr>
            <w:tcW w:w="154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60"/>
              <w:jc w:val="left"/>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安装防泄漏装置</w:t>
            </w:r>
          </w:p>
        </w:tc>
        <w:tc>
          <w:tcPr>
            <w:tcW w:w="142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方块</w:t>
            </w:r>
          </w:p>
        </w:tc>
        <w:tc>
          <w:tcPr>
            <w:tcW w:w="1533"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40分</w:t>
            </w:r>
          </w:p>
        </w:tc>
        <w:tc>
          <w:tcPr>
            <w:tcW w:w="1774"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黑体" w:hAnsi="黑体" w:eastAsia="黑体" w:cs="黑体"/>
                <w:i w:val="0"/>
                <w:iCs w:val="0"/>
                <w:color w:val="000000"/>
                <w:spacing w:val="0"/>
                <w:w w:val="100"/>
                <w:position w:val="0"/>
                <w:lang w:val="en-US" w:eastAsia="zh-CN"/>
              </w:rPr>
            </w:pPr>
            <w:r>
              <w:rPr>
                <w:rFonts w:hint="eastAsia" w:ascii="黑体" w:hAnsi="黑体" w:eastAsia="黑体" w:cs="黑体"/>
                <w:i w:val="0"/>
                <w:iCs w:val="0"/>
                <w:color w:val="000000"/>
                <w:spacing w:val="0"/>
                <w:w w:val="100"/>
                <w:position w:val="0"/>
                <w:lang w:val="en-US" w:eastAsia="zh-CN"/>
              </w:rPr>
              <w:t>3个</w:t>
            </w:r>
          </w:p>
        </w:tc>
        <w:tc>
          <w:tcPr>
            <w:tcW w:w="1387"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120分</w:t>
            </w:r>
          </w:p>
        </w:tc>
      </w:tr>
      <w:tr>
        <w:tblPrEx>
          <w:tblCellMar>
            <w:top w:w="0" w:type="dxa"/>
            <w:left w:w="10" w:type="dxa"/>
            <w:bottom w:w="0" w:type="dxa"/>
            <w:right w:w="10" w:type="dxa"/>
          </w:tblCellMar>
        </w:tblPrEx>
        <w:trPr>
          <w:trHeight w:val="499" w:hRule="exact"/>
          <w:jc w:val="center"/>
        </w:trPr>
        <w:tc>
          <w:tcPr>
            <w:tcW w:w="1547" w:type="dxa"/>
            <w:vMerge w:val="restar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60"/>
              <w:jc w:val="left"/>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转移碳捕捉容器</w:t>
            </w:r>
          </w:p>
        </w:tc>
        <w:tc>
          <w:tcPr>
            <w:tcW w:w="142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大球</w:t>
            </w:r>
          </w:p>
        </w:tc>
        <w:tc>
          <w:tcPr>
            <w:tcW w:w="1533"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60分</w:t>
            </w:r>
          </w:p>
        </w:tc>
        <w:tc>
          <w:tcPr>
            <w:tcW w:w="1774"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黑体" w:hAnsi="黑体" w:eastAsia="黑体" w:cs="黑体"/>
                <w:i w:val="0"/>
                <w:iCs w:val="0"/>
                <w:color w:val="000000"/>
                <w:spacing w:val="0"/>
                <w:w w:val="100"/>
                <w:position w:val="0"/>
                <w:lang w:val="en-US" w:eastAsia="zh-CN"/>
              </w:rPr>
            </w:pPr>
            <w:r>
              <w:rPr>
                <w:rFonts w:hint="eastAsia" w:ascii="黑体" w:hAnsi="黑体" w:eastAsia="黑体" w:cs="黑体"/>
                <w:i w:val="0"/>
                <w:iCs w:val="0"/>
                <w:color w:val="000000"/>
                <w:spacing w:val="0"/>
                <w:w w:val="100"/>
                <w:position w:val="0"/>
                <w:lang w:val="en-US" w:eastAsia="zh-CN"/>
              </w:rPr>
              <w:t>6个</w:t>
            </w:r>
          </w:p>
        </w:tc>
        <w:tc>
          <w:tcPr>
            <w:tcW w:w="1387"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360分</w:t>
            </w:r>
          </w:p>
        </w:tc>
      </w:tr>
      <w:tr>
        <w:tblPrEx>
          <w:tblCellMar>
            <w:top w:w="0" w:type="dxa"/>
            <w:left w:w="10" w:type="dxa"/>
            <w:bottom w:w="0" w:type="dxa"/>
            <w:right w:w="10" w:type="dxa"/>
          </w:tblCellMar>
        </w:tblPrEx>
        <w:trPr>
          <w:trHeight w:val="499" w:hRule="exact"/>
          <w:jc w:val="center"/>
        </w:trPr>
        <w:tc>
          <w:tcPr>
            <w:tcW w:w="1547" w:type="dxa"/>
            <w:vMerge w:val="continue"/>
            <w:tcBorders>
              <w:left w:val="single" w:color="auto" w:sz="4" w:space="0"/>
            </w:tcBorders>
            <w:shd w:val="clear" w:color="auto" w:fill="FFFFFF"/>
            <w:vAlign w:val="center"/>
          </w:tcPr>
          <w:p>
            <w:pPr>
              <w:rPr>
                <w:rFonts w:hint="eastAsia" w:ascii="黑体" w:hAnsi="黑体" w:eastAsia="黑体" w:cs="黑体"/>
              </w:rPr>
            </w:pPr>
          </w:p>
        </w:tc>
        <w:tc>
          <w:tcPr>
            <w:tcW w:w="1427"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小球</w:t>
            </w:r>
          </w:p>
        </w:tc>
        <w:tc>
          <w:tcPr>
            <w:tcW w:w="1533" w:type="dxa"/>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30分</w:t>
            </w:r>
          </w:p>
        </w:tc>
        <w:tc>
          <w:tcPr>
            <w:tcW w:w="1774"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黑体" w:hAnsi="黑体" w:eastAsia="黑体" w:cs="黑体"/>
                <w:i w:val="0"/>
                <w:iCs w:val="0"/>
                <w:color w:val="000000"/>
                <w:spacing w:val="0"/>
                <w:w w:val="100"/>
                <w:position w:val="0"/>
                <w:lang w:val="en-US" w:eastAsia="zh-CN"/>
              </w:rPr>
            </w:pPr>
            <w:r>
              <w:rPr>
                <w:rFonts w:hint="eastAsia" w:ascii="黑体" w:hAnsi="黑体" w:eastAsia="黑体" w:cs="黑体"/>
                <w:i w:val="0"/>
                <w:iCs w:val="0"/>
                <w:color w:val="000000"/>
                <w:spacing w:val="0"/>
                <w:w w:val="100"/>
                <w:position w:val="0"/>
                <w:lang w:val="en-US" w:eastAsia="zh-CN"/>
              </w:rPr>
              <w:t>16个</w:t>
            </w:r>
          </w:p>
        </w:tc>
        <w:tc>
          <w:tcPr>
            <w:tcW w:w="1387" w:type="dxa"/>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480分</w:t>
            </w:r>
          </w:p>
        </w:tc>
      </w:tr>
      <w:tr>
        <w:tblPrEx>
          <w:tblCellMar>
            <w:top w:w="0" w:type="dxa"/>
            <w:left w:w="10" w:type="dxa"/>
            <w:bottom w:w="0" w:type="dxa"/>
            <w:right w:w="10" w:type="dxa"/>
          </w:tblCellMar>
        </w:tblPrEx>
        <w:trPr>
          <w:trHeight w:val="504" w:hRule="exact"/>
          <w:jc w:val="center"/>
        </w:trPr>
        <w:tc>
          <w:tcPr>
            <w:tcW w:w="1547" w:type="dxa"/>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18"/>
                <w:szCs w:val="18"/>
              </w:rPr>
            </w:pPr>
            <w:r>
              <w:rPr>
                <w:rFonts w:hint="eastAsia" w:ascii="黑体" w:hAnsi="黑体" w:eastAsia="黑体" w:cs="黑体"/>
                <w:i w:val="0"/>
                <w:iCs w:val="0"/>
                <w:color w:val="000000"/>
                <w:spacing w:val="0"/>
                <w:w w:val="100"/>
                <w:position w:val="0"/>
                <w:sz w:val="18"/>
                <w:szCs w:val="18"/>
              </w:rPr>
              <w:t>插入环保旗帜</w:t>
            </w:r>
          </w:p>
        </w:tc>
        <w:tc>
          <w:tcPr>
            <w:tcW w:w="1427" w:type="dxa"/>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环保旗帜</w:t>
            </w:r>
          </w:p>
        </w:tc>
        <w:tc>
          <w:tcPr>
            <w:tcW w:w="1533" w:type="dxa"/>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50分</w:t>
            </w:r>
          </w:p>
        </w:tc>
        <w:tc>
          <w:tcPr>
            <w:tcW w:w="17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黑体" w:hAnsi="黑体" w:eastAsia="黑体" w:cs="黑体"/>
                <w:i w:val="0"/>
                <w:iCs w:val="0"/>
                <w:color w:val="000000"/>
                <w:spacing w:val="0"/>
                <w:w w:val="100"/>
                <w:position w:val="0"/>
                <w:lang w:val="en-US" w:eastAsia="zh-CN"/>
              </w:rPr>
            </w:pPr>
            <w:r>
              <w:rPr>
                <w:rFonts w:hint="eastAsia" w:ascii="黑体" w:hAnsi="黑体" w:eastAsia="黑体" w:cs="黑体"/>
                <w:i w:val="0"/>
                <w:iCs w:val="0"/>
                <w:color w:val="000000"/>
                <w:spacing w:val="0"/>
                <w:w w:val="100"/>
                <w:position w:val="0"/>
                <w:lang w:val="en-US" w:eastAsia="zh-CN"/>
              </w:rPr>
              <w:t>2面</w:t>
            </w:r>
          </w:p>
        </w:tc>
        <w:tc>
          <w:tcPr>
            <w:tcW w:w="13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eastAsia" w:ascii="黑体" w:hAnsi="黑体" w:eastAsia="黑体" w:cs="黑体"/>
              </w:rPr>
            </w:pPr>
            <w:r>
              <w:rPr>
                <w:rFonts w:hint="eastAsia" w:ascii="黑体" w:hAnsi="黑体" w:eastAsia="黑体" w:cs="黑体"/>
                <w:i w:val="0"/>
                <w:iCs w:val="0"/>
                <w:color w:val="000000"/>
                <w:spacing w:val="0"/>
                <w:w w:val="100"/>
                <w:position w:val="0"/>
              </w:rPr>
              <w:t>100分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4.7单场比赛流程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4"/>
          <w:szCs w:val="24"/>
          <w:lang w:val="en-US" w:eastAsia="zh-CN"/>
        </w:rPr>
      </w:pPr>
      <w:r>
        <w:drawing>
          <wp:inline distT="0" distB="0" distL="114300" distR="114300">
            <wp:extent cx="5039995" cy="573405"/>
            <wp:effectExtent l="0" t="0" r="4445" b="571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4"/>
                    <a:stretch>
                      <a:fillRect/>
                    </a:stretch>
                  </pic:blipFill>
                  <pic:spPr>
                    <a:xfrm>
                      <a:off x="0" y="0"/>
                      <a:ext cx="5039995" cy="573405"/>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黑体" w:hAnsi="黑体" w:eastAsia="黑体" w:cs="黑体"/>
          <w:i w:val="0"/>
          <w:iCs w:val="0"/>
          <w:kern w:val="2"/>
          <w:sz w:val="21"/>
          <w:szCs w:val="21"/>
          <w:u w:val="none"/>
          <w:shd w:val="clear"/>
          <w:lang w:val="en-US" w:eastAsia="zh-CN" w:bidi="ar-SA"/>
        </w:rPr>
        <w:t>单场比赛流程图</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4.7.1 到场准备</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单场比赛开始前，选手应按照赛程时间提前抵达场地，并在裁判的引导下做 好以下准备：</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(1)将机器人电源保持开启状态，完全放在本方启动区内，蓝牙手柄保持 开启状态，放在场地外侧；</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(2)双方共同指派一名代表抽取道具卡，并按照道具卡摆放方块；</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(3)相互检查双方场地和道具摆放是否规范。</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4.7.2</w:t>
      </w:r>
      <w:r>
        <w:rPr>
          <w:rFonts w:hint="default" w:ascii="黑体" w:hAnsi="黑体" w:eastAsia="黑体" w:cs="黑体"/>
          <w:b/>
          <w:bCs/>
          <w:i w:val="0"/>
          <w:iCs w:val="0"/>
          <w:color w:val="0070C0"/>
          <w:kern w:val="2"/>
          <w:sz w:val="21"/>
          <w:szCs w:val="21"/>
          <w:u w:val="none"/>
          <w:shd w:val="clear"/>
          <w:lang w:val="en-US" w:eastAsia="zh-CN" w:bidi="ar-SA"/>
        </w:rPr>
        <w:t>自动控制阶段</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裁判宣布5秒倒计时，比赛开始：</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(1)选手启动自动程序后，不得再触碰机器人；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(2)自动阶段结束之前，机器人应当完成自动程序运行并保持静止状态； 机器人无需返回启动区；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(3)机器人不得抢夺或直接接触中央区的道具，仅可利用本方道具完成任务。具体规则请参考“6.2比赛规则-操作规则”。</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裁判宣布5秒倒计时，自动控制阶段结束。</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B0F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4.7.3</w:t>
      </w:r>
      <w:r>
        <w:rPr>
          <w:rFonts w:hint="default" w:ascii="黑体" w:hAnsi="黑体" w:eastAsia="黑体" w:cs="黑体"/>
          <w:b/>
          <w:bCs/>
          <w:i w:val="0"/>
          <w:iCs w:val="0"/>
          <w:color w:val="0070C0"/>
          <w:kern w:val="2"/>
          <w:sz w:val="21"/>
          <w:szCs w:val="21"/>
          <w:u w:val="none"/>
          <w:shd w:val="clear"/>
          <w:lang w:val="en-US" w:eastAsia="zh-CN" w:bidi="ar-SA"/>
        </w:rPr>
        <w:t>手动控制阶段</w:t>
      </w:r>
      <w:r>
        <w:rPr>
          <w:rFonts w:hint="default" w:ascii="黑体" w:hAnsi="黑体" w:eastAsia="黑体" w:cs="黑体"/>
          <w:i w:val="0"/>
          <w:iCs w:val="0"/>
          <w:color w:val="00B0F0"/>
          <w:kern w:val="2"/>
          <w:sz w:val="21"/>
          <w:szCs w:val="21"/>
          <w:u w:val="none"/>
          <w:shd w:val="clear"/>
          <w:lang w:val="en-US" w:eastAsia="zh-CN" w:bidi="ar-SA"/>
        </w:rPr>
        <w:tab/>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裁判宣布5秒倒计时，比赛开始：</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选手拿起手柄操控机器人；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裁判宣布5秒倒计时，手动阶段结束。手动阶段结束后选手立即放下手柄停止操控。</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 xml:space="preserve">4.7.4 </w:t>
      </w:r>
      <w:r>
        <w:rPr>
          <w:rFonts w:hint="default" w:ascii="黑体" w:hAnsi="黑体" w:eastAsia="黑体" w:cs="黑体"/>
          <w:b/>
          <w:bCs/>
          <w:i w:val="0"/>
          <w:iCs w:val="0"/>
          <w:color w:val="0070C0"/>
          <w:kern w:val="2"/>
          <w:sz w:val="21"/>
          <w:szCs w:val="21"/>
          <w:u w:val="none"/>
          <w:shd w:val="clear"/>
          <w:lang w:val="en-US" w:eastAsia="zh-CN" w:bidi="ar-SA"/>
        </w:rPr>
        <w:t>裁判计分及选手签字确认</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比赛结束后，裁判会进行得分统计。如对比赛无异议，双方队长必须在成绩单上签字确认比赛结果。若对比赛结果产生异议，可以由队长在未签字确认的情况下向裁判提出。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签字确认后，参赛队员应主动协助裁判复原场地道具，并携带机器人和蓝牙手柄有序离场。</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技术规范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5.1机器人制作规范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20" w:firstLineChars="200"/>
        <w:jc w:val="left"/>
        <w:textAlignment w:val="auto"/>
        <w:rPr>
          <w:rFonts w:hint="eastAsia" w:ascii="仿宋" w:hAnsi="仿宋" w:eastAsia="仿宋" w:cs="仿宋"/>
          <w:i w:val="0"/>
          <w:iCs w:val="0"/>
          <w:color w:val="auto"/>
          <w:sz w:val="21"/>
          <w:szCs w:val="21"/>
          <w:lang w:val="en-US" w:eastAsia="zh-CN" w:bidi="ar-SA"/>
        </w:rPr>
      </w:pPr>
      <w:r>
        <w:rPr>
          <w:rFonts w:hint="eastAsia" w:ascii="仿宋" w:hAnsi="仿宋" w:eastAsia="仿宋" w:cs="仿宋"/>
          <w:i w:val="0"/>
          <w:iCs w:val="0"/>
          <w:color w:val="auto"/>
          <w:sz w:val="21"/>
          <w:szCs w:val="21"/>
          <w:lang w:val="en-US" w:eastAsia="zh-CN" w:bidi="ar-SA"/>
        </w:rPr>
        <w:t xml:space="preserve">机器人制作规范为指导各参赛队伍更好的参赛备赛，提供了一个公平公正且 安全的竞赛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0070C0"/>
          <w:kern w:val="2"/>
          <w:sz w:val="21"/>
          <w:szCs w:val="21"/>
          <w:u w:val="none"/>
          <w:shd w:val="clear" w:color="auto" w:fill="auto"/>
          <w:lang w:val="en-US" w:eastAsia="zh-CN" w:bidi="ar-SA"/>
        </w:rPr>
      </w:pPr>
      <w:r>
        <w:rPr>
          <w:rFonts w:hint="eastAsia" w:ascii="黑体" w:hAnsi="黑体" w:eastAsia="黑体" w:cs="黑体"/>
          <w:b/>
          <w:bCs/>
          <w:i w:val="0"/>
          <w:iCs w:val="0"/>
          <w:color w:val="0070C0"/>
          <w:kern w:val="2"/>
          <w:sz w:val="21"/>
          <w:szCs w:val="21"/>
          <w:u w:val="none"/>
          <w:shd w:val="clear" w:color="auto" w:fill="auto"/>
          <w:lang w:val="en-US" w:eastAsia="zh-CN" w:bidi="ar-SA"/>
        </w:rPr>
        <w:t xml:space="preserve">5.1.1 </w:t>
      </w:r>
      <w:r>
        <w:rPr>
          <w:rFonts w:hint="default" w:ascii="黑体" w:hAnsi="黑体" w:eastAsia="黑体" w:cs="黑体"/>
          <w:b/>
          <w:bCs/>
          <w:i w:val="0"/>
          <w:iCs w:val="0"/>
          <w:color w:val="0070C0"/>
          <w:kern w:val="2"/>
          <w:sz w:val="21"/>
          <w:szCs w:val="21"/>
          <w:u w:val="none"/>
          <w:shd w:val="clear" w:color="auto" w:fill="auto"/>
          <w:lang w:val="en-US" w:eastAsia="zh-CN" w:bidi="ar-SA"/>
        </w:rPr>
        <w:t>机器人机械规范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TO1 每支参赛战队在同一场比赛中仅可以使用两台机器人。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T02 除主控、底盘及与地面接触的车轮、履带等使机器人在平坦场地运动的机构不可更换外，选手可出于零部件故障或赛项任务的目的更换其它零部件。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T03 在整个比赛过程中，机器人最大延展尺寸不可超过 320mm*320mm*360mm （长*宽*高）。最大延展尺寸指机器人在操作的过程中 运动伸展至极限状态的尺寸。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2167255"/>
            <wp:effectExtent l="0" t="0" r="8255" b="1206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4319905" cy="2167255"/>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最大延伸尺寸-侧视图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19905" cy="2251710"/>
            <wp:effectExtent l="0" t="0" r="8255" b="381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tretch>
                      <a:fillRect/>
                    </a:stretch>
                  </pic:blipFill>
                  <pic:spPr>
                    <a:xfrm>
                      <a:off x="0" y="0"/>
                      <a:ext cx="4319905" cy="2251710"/>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最大延伸尺寸-俯视图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T04. 在整个比赛过程中，机器人任意时刻最大净重量不超过4kg，包含电池重量，不包含环保旗帜重量。为确保比赛的公平性，防止战队使用部分尺寸更大的轮子，破坏比赛的公平性，战队使用的车轮（包括橡胶胎皮）直径不得超过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u w:val="none"/>
          <w:shd w:val="clear" w:color="auto" w:fill="auto"/>
          <w:lang w:val="en-US" w:eastAsia="zh-CN"/>
        </w:rPr>
      </w:pPr>
      <w:r>
        <w:drawing>
          <wp:inline distT="0" distB="0" distL="114300" distR="114300">
            <wp:extent cx="2000885" cy="1800225"/>
            <wp:effectExtent l="0" t="0" r="0" b="0"/>
            <wp:docPr id="14" name="图片 14"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1@4x"/>
                    <pic:cNvPicPr>
                      <a:picLocks noChangeAspect="1"/>
                    </pic:cNvPicPr>
                  </pic:nvPicPr>
                  <pic:blipFill>
                    <a:blip r:embed="rId27"/>
                    <a:stretch>
                      <a:fillRect/>
                    </a:stretch>
                  </pic:blipFill>
                  <pic:spPr>
                    <a:xfrm>
                      <a:off x="0" y="0"/>
                      <a:ext cx="200088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T05.为确保比赛的公平性，防止战队使用部分高性能设备破坏比赛公平性，战队使用的器材性能不得超过以下指标∶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b w:val="0"/>
          <w:bCs w:val="0"/>
          <w:color w:val="auto"/>
          <w:sz w:val="21"/>
          <w:szCs w:val="21"/>
          <w:lang w:val="en-US" w:eastAsia="zh-CN"/>
        </w:rPr>
      </w:pPr>
    </w:p>
    <w:tbl>
      <w:tblPr>
        <w:tblStyle w:val="5"/>
        <w:tblpPr w:leftFromText="180" w:rightFromText="180" w:vertAnchor="text" w:horzAnchor="page" w:tblpX="2008" w:tblpY="1227"/>
        <w:tblOverlap w:val="never"/>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1244"/>
        <w:gridCol w:w="3196"/>
        <w:gridCol w:w="2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设备类型</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器件名称</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规格</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电机&amp;舵机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直流电机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高速TT马达</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·无负载速度：312RPM±10%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·齿轮比：1：48</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p>
            <w:pPr>
              <w:keepNext w:val="0"/>
              <w:keepLines w:val="0"/>
              <w:widowControl/>
              <w:numPr>
                <w:ilvl w:val="0"/>
                <w:numId w:val="3"/>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37直流电机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·额定电压：12V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·无负载速度：50&amp;200RPM</w:t>
            </w:r>
          </w:p>
          <w:p>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·额定力矩：4.5kg.cm&amp;1.5kg.cm</w:t>
            </w:r>
          </w:p>
          <w:p>
            <w:pPr>
              <w:keepNext w:val="0"/>
              <w:keepLines w:val="0"/>
              <w:widowControl/>
              <w:numPr>
                <w:ilvl w:val="0"/>
                <w:numId w:val="0"/>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机器人上安装的电机（直流电机、编码电机）总数量不超过4个</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·舵机总数量不超过4个</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·禁止更改任何电机或舵机内部的机械结构和电气布局</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color w:val="000000"/>
                <w:kern w:val="0"/>
                <w:sz w:val="22"/>
                <w:szCs w:val="22"/>
                <w:u w:val="none"/>
                <w:lang w:bidi="ar"/>
              </w:rPr>
              <w:t>注：37电机需自行准备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·180光电编码电机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驱动电压：DC5-7.4V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转速区间：5V 1~207RPM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       7.4VO~350RPM±5%</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转动精度：≤5°</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减速比：39：43</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·MECDS-150 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工作电压：DC 6.0V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峰值扭矩：16.5kg.cm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·MS-1.5A 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扭矩∶1.31-.7kg.cm</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2"/>
                <w:szCs w:val="22"/>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T06. 为防止战队使用部分高性能电子设备破坏比赛公平性，战队使用的电子设备需满足且不得超过以下性能指标：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1"/>
          <w:szCs w:val="21"/>
          <w:lang w:val="en-US" w:eastAsia="zh-CN"/>
        </w:rPr>
      </w:pPr>
    </w:p>
    <w:tbl>
      <w:tblPr>
        <w:tblStyle w:val="5"/>
        <w:tblW w:w="85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440"/>
        <w:gridCol w:w="3792"/>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系统名称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模块名称</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规格</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·18650 锂电池：3.7V 2500mAh</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数量各限一个，并且安全地固定在机器人内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0"/>
                <w:rFonts w:hint="eastAsia" w:ascii="仿宋" w:hAnsi="仿宋" w:eastAsia="仿宋" w:cs="仿宋"/>
                <w:sz w:val="21"/>
                <w:szCs w:val="21"/>
                <w:lang w:val="en-US" w:eastAsia="zh-CN" w:bidi="ar"/>
              </w:rPr>
            </w:pPr>
            <w:r>
              <w:rPr>
                <w:rStyle w:val="9"/>
                <w:rFonts w:hint="eastAsia" w:ascii="仿宋" w:hAnsi="仿宋" w:eastAsia="仿宋" w:cs="仿宋"/>
                <w:sz w:val="21"/>
                <w:szCs w:val="21"/>
                <w:lang w:val="en-US" w:eastAsia="zh-CN" w:bidi="ar"/>
              </w:rPr>
              <w:t>•</w:t>
            </w:r>
            <w:r>
              <w:rPr>
                <w:rStyle w:val="10"/>
                <w:rFonts w:hint="eastAsia" w:ascii="仿宋" w:hAnsi="仿宋" w:eastAsia="仿宋" w:cs="仿宋"/>
                <w:sz w:val="21"/>
                <w:szCs w:val="21"/>
                <w:lang w:val="en-US" w:eastAsia="zh-CN" w:bidi="ar"/>
              </w:rPr>
              <w:t xml:space="preserve"> 18650电池包</w:t>
            </w:r>
          </w:p>
          <w:p>
            <w:pPr>
              <w:keepNext w:val="0"/>
              <w:keepLines w:val="0"/>
              <w:widowControl/>
              <w:suppressLineNumbers w:val="0"/>
              <w:jc w:val="left"/>
              <w:textAlignment w:val="center"/>
              <w:rPr>
                <w:rStyle w:val="10"/>
                <w:rFonts w:hint="eastAsia" w:ascii="仿宋" w:hAnsi="仿宋" w:eastAsia="仿宋" w:cs="仿宋"/>
                <w:sz w:val="21"/>
                <w:szCs w:val="21"/>
                <w:lang w:val="en-US" w:eastAsia="zh-CN" w:bidi="ar"/>
              </w:rPr>
            </w:pPr>
            <w:r>
              <w:rPr>
                <w:rStyle w:val="10"/>
                <w:rFonts w:hint="eastAsia" w:ascii="仿宋" w:hAnsi="仿宋" w:eastAsia="仿宋" w:cs="仿宋"/>
                <w:sz w:val="21"/>
                <w:szCs w:val="21"/>
                <w:lang w:val="en-US" w:eastAsia="zh-CN" w:bidi="ar"/>
              </w:rPr>
              <w:t>电池容量：2500mAh-8000mAh</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10"/>
                <w:rFonts w:hint="eastAsia" w:ascii="仿宋" w:hAnsi="仿宋" w:eastAsia="仿宋" w:cs="仿宋"/>
                <w:sz w:val="21"/>
                <w:szCs w:val="21"/>
                <w:lang w:val="en-US" w:eastAsia="zh-CN" w:bidi="ar"/>
              </w:rPr>
              <w:t>放电倍率：3-5c</w:t>
            </w: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主控系统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主控</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·处理器：高 ESP32-WROVER-B</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·主频：240MHz</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·工作电压：6V-13V （若使用电机时，输入最低电压必须满足电机工作电压要求）</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·通讯端口及协议：串口/mBuild协议</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扩展板</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·微处理器：GD32F403</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·输入电压/电流：5V 2000mA （快充）5V 500mA （边充边用时）</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·通讯模式: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数字信号：数字舵机接口</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PWM：直流电机接口</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传感器系统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lang w:val="en-US" w:eastAsia="zh-Hans"/>
              </w:rPr>
            </w:pPr>
            <w:r>
              <w:rPr>
                <w:rFonts w:hint="eastAsia" w:ascii="仿宋" w:hAnsi="仿宋" w:eastAsia="仿宋" w:cs="仿宋"/>
                <w:i w:val="0"/>
                <w:iCs w:val="0"/>
                <w:color w:val="000000"/>
                <w:sz w:val="21"/>
                <w:szCs w:val="21"/>
                <w:u w:val="none"/>
                <w:lang w:val="en-US" w:eastAsia="zh-Hans"/>
              </w:rPr>
              <w:t>传感器</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·视觉传感器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视场角：65.0度</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有效焦距∶4.65±5%mm</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识别速度∶60 帧/s</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识别距离∶0.25-1.2m 范围最佳</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供电方式∶3.7V锂电池或5VmBuild 电源模块</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功耗范围∶0.9-1.3W</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·超声波传感器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读值范围∶5-300cm</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读值误差∶±5%</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·巡线传感器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检测高度∶5mm-15mm</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类型和数量不限</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9"/>
                <w:rFonts w:hint="eastAsia" w:ascii="仿宋" w:hAnsi="仿宋" w:eastAsia="仿宋" w:cs="仿宋"/>
                <w:sz w:val="21"/>
                <w:szCs w:val="21"/>
                <w:lang w:val="en-US" w:eastAsia="zh-CN" w:bidi="ar"/>
              </w:rPr>
              <w:t>•</w:t>
            </w:r>
            <w:r>
              <w:rPr>
                <w:rStyle w:val="10"/>
                <w:rFonts w:hint="eastAsia" w:ascii="仿宋" w:hAnsi="仿宋" w:eastAsia="仿宋" w:cs="仿宋"/>
                <w:sz w:val="21"/>
                <w:szCs w:val="21"/>
                <w:lang w:val="en-US" w:eastAsia="zh-CN" w:bidi="ar"/>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无线控制系统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蓝牙手柄</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蓝牙版本：支持</w:t>
            </w:r>
            <w:r>
              <w:rPr>
                <w:rStyle w:val="11"/>
                <w:rFonts w:hint="eastAsia" w:ascii="仿宋" w:hAnsi="仿宋" w:eastAsia="仿宋" w:cs="仿宋"/>
                <w:sz w:val="21"/>
                <w:szCs w:val="21"/>
                <w:lang w:val="en-US" w:eastAsia="zh-CN" w:bidi="ar"/>
              </w:rPr>
              <w:t>4.0+</w:t>
            </w:r>
          </w:p>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Style w:val="11"/>
                <w:rFonts w:hint="eastAsia" w:ascii="仿宋" w:hAnsi="仿宋" w:eastAsia="仿宋" w:cs="仿宋"/>
                <w:sz w:val="21"/>
                <w:szCs w:val="21"/>
                <w:lang w:val="en-US" w:eastAsia="zh-CN" w:bidi="ar"/>
              </w:rPr>
              <w:t>传输距离:20m</w:t>
            </w:r>
          </w:p>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Style w:val="11"/>
                <w:rFonts w:hint="eastAsia" w:ascii="仿宋" w:hAnsi="仿宋" w:eastAsia="仿宋" w:cs="仿宋"/>
                <w:sz w:val="21"/>
                <w:szCs w:val="21"/>
                <w:lang w:val="en-US" w:eastAsia="zh-CN" w:bidi="ar"/>
              </w:rPr>
              <w:t>工作电流:≤25mA</w:t>
            </w:r>
          </w:p>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Style w:val="11"/>
                <w:rFonts w:hint="eastAsia" w:ascii="仿宋" w:hAnsi="仿宋" w:eastAsia="仿宋" w:cs="仿宋"/>
                <w:sz w:val="21"/>
                <w:szCs w:val="21"/>
                <w:lang w:val="en-US" w:eastAsia="zh-CN" w:bidi="ar"/>
              </w:rPr>
              <w:t xml:space="preserve">发射功率∶4dBm </w:t>
            </w:r>
          </w:p>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Style w:val="11"/>
                <w:rFonts w:hint="eastAsia" w:ascii="仿宋" w:hAnsi="仿宋" w:eastAsia="仿宋" w:cs="仿宋"/>
                <w:sz w:val="21"/>
                <w:szCs w:val="21"/>
                <w:lang w:val="en-US" w:eastAsia="zh-CN" w:bidi="ar"/>
              </w:rPr>
              <w:t>传输数据∶100ms之内数据包能够被蓝牙设备获取（低延迟）。</w:t>
            </w:r>
          </w:p>
          <w:p>
            <w:pPr>
              <w:keepNext w:val="0"/>
              <w:keepLines w:val="0"/>
              <w:widowControl/>
              <w:suppressLineNumbers w:val="0"/>
              <w:jc w:val="both"/>
              <w:textAlignment w:val="center"/>
              <w:rPr>
                <w:rStyle w:val="11"/>
                <w:rFonts w:hint="eastAsia" w:ascii="仿宋" w:hAnsi="仿宋" w:eastAsia="仿宋" w:cs="仿宋"/>
                <w:sz w:val="21"/>
                <w:szCs w:val="21"/>
                <w:lang w:val="en-US" w:eastAsia="zh-CN" w:bidi="ar"/>
              </w:rPr>
            </w:pPr>
            <w:r>
              <w:rPr>
                <w:rStyle w:val="11"/>
                <w:rFonts w:hint="eastAsia" w:ascii="仿宋" w:hAnsi="仿宋" w:eastAsia="仿宋" w:cs="仿宋"/>
                <w:sz w:val="21"/>
                <w:szCs w:val="21"/>
                <w:lang w:val="en-US" w:eastAsia="zh-CN" w:bidi="ar"/>
              </w:rPr>
              <w:t>电池;两节5号AA干电池</w:t>
            </w:r>
          </w:p>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Style w:val="11"/>
                <w:rFonts w:hint="eastAsia" w:ascii="仿宋" w:hAnsi="仿宋" w:eastAsia="仿宋" w:cs="仿宋"/>
                <w:sz w:val="21"/>
                <w:szCs w:val="21"/>
                <w:lang w:val="en-US" w:eastAsia="zh-CN" w:bidi="ar"/>
              </w:rPr>
              <w:t>支持平台∶macOS/Windows</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在比赛时，一个队伍仅能使用1台蓝牙手柄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蓝牙模块</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蓝牙版本∶BT4.0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频带范围∶2402~2480MHz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天线增益∶1.5dBi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能耗等级∶≤4dBm </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工作电流∶15mA</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禁止使用除蓝牙手柄以外任何形式的无线控制与机器人进行通信，包括但不限于任何人为触发的传感器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T07. 若参赛战队机器人使用激光瞄准器，该激光瞄准器功率需小于等于5mW（第3a/R级以下），每台机器人仅允许安装至多一个激光瞄准器。 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T08. 战队不允许使用多自由度商业产品搭建机器人：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 包括但不限于多自由度机械臂、机械手等;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不包含金属、塑料结构件。 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T09. 禁止机器人使用可能造成危险的零部件，例如：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·锐利的尖角;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·油压件或液压件;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·含有水银的开关或触点; 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·能够将机器人上电流传导至场地上的零件;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易造成与其他机器人固连的零部件，如钩状零件等;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其他裁判裁定可能导致危险的零部件。 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T10. 禁止机器人使用可能造成危险的材料，例如∶ 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使用易燃易爆气体; 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含有液体或胶状物的材料（按规定少量使用的胶水、润滑油除外）;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可能造成场地污染的材料，例如沙子、墨水等;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·使用动物组织制作的材料；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·其他裁判裁定可能导致危险的材料。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5.2环保旗帜制作规范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T11. 环保旗帜由旗面和旗杆两部分组成，由参赛队伍自行制作，制作要求如下：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r>
        <w:drawing>
          <wp:inline distT="0" distB="0" distL="114300" distR="114300">
            <wp:extent cx="1576705" cy="1800225"/>
            <wp:effectExtent l="0" t="0" r="8255" b="1333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8"/>
                    <a:stretch>
                      <a:fillRect/>
                    </a:stretch>
                  </pic:blipFill>
                  <pic:spPr>
                    <a:xfrm>
                      <a:off x="0" y="0"/>
                      <a:ext cx="1576705" cy="1800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环保旗帜示意图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·旗帜道具须由旗面和旗杆组成，可含底座，底座与旗杆不可分离。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·旗面材料为布面、纸质或其它柔性材料，比赛过程中必须处于展开状态。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·旗面尺寸不小于80mm（长）*60mm（宽）。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·旗杆及底座形状不限，底面的垂直投影须小于30mm*30mm，长度不小于100mm。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·旗帜任意时刻都符合规则要求方可参赛。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·每支队伍最多可使用两面旗帜。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·组委会鼓励参赛队在旗帜上绘制个性化的图案或文字，但是须积极向上、能够体现赛事精神。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比赛规则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6.1判罚说明</w:t>
      </w:r>
    </w:p>
    <w:p>
      <w:pPr>
        <w:pStyle w:val="12"/>
        <w:keepNext w:val="0"/>
        <w:keepLines w:val="0"/>
        <w:widowControl w:val="0"/>
        <w:shd w:val="clear" w:color="auto" w:fill="auto"/>
        <w:bidi w:val="0"/>
        <w:spacing w:before="0" w:after="0" w:line="240" w:lineRule="auto"/>
        <w:ind w:right="0" w:firstLine="422" w:firstLineChars="200"/>
        <w:jc w:val="left"/>
        <w:rPr>
          <w:rFonts w:hint="eastAsia" w:ascii="黑体" w:hAnsi="黑体" w:eastAsia="黑体" w:cs="黑体"/>
          <w:b/>
          <w:bCs/>
          <w:sz w:val="21"/>
          <w:szCs w:val="21"/>
        </w:rPr>
      </w:pPr>
      <w:r>
        <w:rPr>
          <w:rFonts w:hint="eastAsia" w:ascii="黑体" w:hAnsi="黑体" w:eastAsia="黑体" w:cs="黑体"/>
          <w:b/>
          <w:bCs/>
          <w:color w:val="2E72B3"/>
          <w:spacing w:val="0"/>
          <w:w w:val="100"/>
          <w:position w:val="0"/>
          <w:sz w:val="21"/>
          <w:szCs w:val="21"/>
        </w:rPr>
        <w:t>口头警告</w:t>
      </w:r>
    </w:p>
    <w:p>
      <w:pPr>
        <w:pStyle w:val="12"/>
        <w:keepNext w:val="0"/>
        <w:keepLines w:val="0"/>
        <w:widowControl w:val="0"/>
        <w:shd w:val="clear" w:color="auto" w:fill="auto"/>
        <w:bidi w:val="0"/>
        <w:spacing w:before="0" w:after="140" w:line="451" w:lineRule="exact"/>
        <w:ind w:left="0" w:right="0" w:firstLine="480"/>
        <w:jc w:val="both"/>
        <w:rPr>
          <w:rFonts w:hint="eastAsia" w:ascii="仿宋" w:hAnsi="仿宋" w:eastAsia="仿宋" w:cs="仿宋"/>
          <w:sz w:val="21"/>
          <w:szCs w:val="21"/>
        </w:rPr>
      </w:pPr>
      <w:r>
        <w:rPr>
          <w:rFonts w:hint="eastAsia" w:ascii="仿宋" w:hAnsi="仿宋" w:eastAsia="仿宋" w:cs="仿宋"/>
          <w:color w:val="000000"/>
          <w:spacing w:val="0"/>
          <w:w w:val="100"/>
          <w:position w:val="0"/>
          <w:sz w:val="21"/>
          <w:szCs w:val="21"/>
          <w:lang w:val="en-US" w:eastAsia="en-US" w:bidi="en-US"/>
        </w:rPr>
        <w:t>E01.</w:t>
      </w:r>
      <w:r>
        <w:rPr>
          <w:rFonts w:hint="eastAsia" w:ascii="仿宋" w:hAnsi="仿宋" w:eastAsia="仿宋" w:cs="仿宋"/>
          <w:color w:val="000000"/>
          <w:spacing w:val="0"/>
          <w:w w:val="100"/>
          <w:position w:val="0"/>
          <w:sz w:val="21"/>
          <w:szCs w:val="21"/>
        </w:rPr>
        <w:t>裁判对参赛战队发出口头警告，要求参赛战队立即停止违反规则并服从裁判指示。（单场比赛仅有一次被口头警告的机会）在此期间，不会扣分，比赛计时也不会停止。</w:t>
      </w:r>
    </w:p>
    <w:p>
      <w:pPr>
        <w:pStyle w:val="12"/>
        <w:keepNext w:val="0"/>
        <w:keepLines w:val="0"/>
        <w:widowControl w:val="0"/>
        <w:shd w:val="clear" w:color="auto" w:fill="auto"/>
        <w:bidi w:val="0"/>
        <w:spacing w:before="0" w:after="0" w:line="240" w:lineRule="auto"/>
        <w:ind w:left="0" w:right="0" w:firstLine="422" w:firstLineChars="200"/>
        <w:jc w:val="left"/>
        <w:rPr>
          <w:rFonts w:hint="eastAsia" w:ascii="黑体" w:hAnsi="黑体" w:eastAsia="黑体" w:cs="黑体"/>
          <w:b/>
          <w:bCs/>
          <w:sz w:val="21"/>
          <w:szCs w:val="21"/>
        </w:rPr>
      </w:pPr>
      <w:r>
        <w:rPr>
          <w:rFonts w:hint="eastAsia" w:ascii="黑体" w:hAnsi="黑体" w:eastAsia="黑体" w:cs="黑体"/>
          <w:b/>
          <w:bCs/>
          <w:color w:val="2E72B3"/>
          <w:spacing w:val="0"/>
          <w:w w:val="100"/>
          <w:position w:val="0"/>
          <w:sz w:val="21"/>
          <w:szCs w:val="21"/>
        </w:rPr>
        <w:t>违例</w:t>
      </w:r>
    </w:p>
    <w:p>
      <w:pPr>
        <w:pStyle w:val="12"/>
        <w:keepNext w:val="0"/>
        <w:keepLines w:val="0"/>
        <w:widowControl w:val="0"/>
        <w:shd w:val="clear" w:color="auto" w:fill="auto"/>
        <w:bidi w:val="0"/>
        <w:spacing w:before="0" w:after="0" w:line="432" w:lineRule="exact"/>
        <w:ind w:left="0" w:right="0" w:firstLine="480"/>
        <w:jc w:val="both"/>
        <w:rPr>
          <w:rFonts w:hint="eastAsia" w:ascii="黑体" w:hAnsi="黑体" w:eastAsia="黑体" w:cs="黑体"/>
          <w:sz w:val="21"/>
          <w:szCs w:val="21"/>
        </w:rPr>
      </w:pPr>
      <w:r>
        <w:rPr>
          <w:rFonts w:hint="eastAsia" w:ascii="仿宋" w:hAnsi="仿宋" w:eastAsia="仿宋" w:cs="仿宋"/>
          <w:color w:val="000000"/>
          <w:spacing w:val="0"/>
          <w:w w:val="100"/>
          <w:position w:val="0"/>
          <w:sz w:val="21"/>
          <w:szCs w:val="21"/>
          <w:lang w:val="en-US" w:eastAsia="en-US" w:bidi="en-US"/>
        </w:rPr>
        <w:t>E02.</w:t>
      </w:r>
      <w:r>
        <w:rPr>
          <w:rFonts w:hint="eastAsia" w:ascii="仿宋" w:hAnsi="仿宋" w:eastAsia="仿宋" w:cs="仿宋"/>
          <w:color w:val="000000"/>
          <w:spacing w:val="0"/>
          <w:w w:val="100"/>
          <w:position w:val="0"/>
          <w:sz w:val="21"/>
          <w:szCs w:val="21"/>
        </w:rPr>
        <w:t>裁判对参赛队发出违例判罚，立即扣除该方20分。比赛计时不会停止。</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sz w:val="21"/>
          <w:szCs w:val="21"/>
        </w:rPr>
      </w:pPr>
      <w:r>
        <w:rPr>
          <w:rFonts w:hint="eastAsia" w:ascii="黑体" w:hAnsi="黑体" w:eastAsia="黑体" w:cs="黑体"/>
          <w:b/>
          <w:bCs/>
          <w:color w:val="2E72B3"/>
          <w:spacing w:val="0"/>
          <w:w w:val="100"/>
          <w:position w:val="0"/>
          <w:sz w:val="21"/>
          <w:szCs w:val="21"/>
        </w:rPr>
        <w:t>黄牌</w:t>
      </w:r>
    </w:p>
    <w:p>
      <w:pPr>
        <w:pStyle w:val="12"/>
        <w:keepNext w:val="0"/>
        <w:keepLines w:val="0"/>
        <w:widowControl w:val="0"/>
        <w:shd w:val="clear" w:color="auto" w:fill="auto"/>
        <w:bidi w:val="0"/>
        <w:spacing w:before="0" w:after="0" w:line="432" w:lineRule="exact"/>
        <w:ind w:left="0" w:right="0" w:firstLine="480"/>
        <w:jc w:val="both"/>
        <w:rPr>
          <w:rFonts w:hint="eastAsia" w:ascii="仿宋" w:hAnsi="仿宋" w:eastAsia="仿宋" w:cs="仿宋"/>
          <w:color w:val="00000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E03.若某方相关人员的行为对当场比赛的公平性造成较为严重影响或违反安全原则，该</w:t>
      </w:r>
      <w:r>
        <w:rPr>
          <w:rFonts w:hint="eastAsia" w:ascii="仿宋" w:hAnsi="仿宋" w:eastAsia="仿宋" w:cs="仿宋"/>
          <w:color w:val="000000"/>
          <w:spacing w:val="0"/>
          <w:w w:val="100"/>
          <w:position w:val="0"/>
          <w:sz w:val="21"/>
          <w:szCs w:val="21"/>
          <w:lang w:val="en-US" w:eastAsia="zh-CN" w:bidi="en-US"/>
        </w:rPr>
        <w:t>队伍</w:t>
      </w:r>
      <w:r>
        <w:rPr>
          <w:rFonts w:hint="eastAsia" w:ascii="仿宋" w:hAnsi="仿宋" w:eastAsia="仿宋" w:cs="仿宋"/>
          <w:color w:val="000000"/>
          <w:spacing w:val="0"/>
          <w:w w:val="100"/>
          <w:position w:val="0"/>
          <w:sz w:val="21"/>
          <w:szCs w:val="21"/>
          <w:lang w:val="en-US" w:eastAsia="en-US" w:bidi="en-US"/>
        </w:rPr>
        <w:t>将受到扣除当场得分60分的处罚。</w:t>
      </w:r>
    </w:p>
    <w:p>
      <w:pPr>
        <w:pStyle w:val="12"/>
        <w:keepNext w:val="0"/>
        <w:keepLines w:val="0"/>
        <w:widowControl w:val="0"/>
        <w:shd w:val="clear" w:color="auto" w:fill="auto"/>
        <w:bidi w:val="0"/>
        <w:spacing w:before="0" w:after="0" w:line="432" w:lineRule="exact"/>
        <w:ind w:left="0" w:right="0" w:firstLine="480"/>
        <w:jc w:val="both"/>
        <w:rPr>
          <w:rFonts w:hint="eastAsia" w:ascii="仿宋" w:hAnsi="仿宋" w:eastAsia="仿宋" w:cs="仿宋"/>
          <w:color w:val="00000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黄牌处罚累计说明：</w:t>
      </w:r>
    </w:p>
    <w:p>
      <w:pPr>
        <w:pStyle w:val="12"/>
        <w:keepNext w:val="0"/>
        <w:keepLines w:val="0"/>
        <w:widowControl w:val="0"/>
        <w:shd w:val="clear" w:color="auto" w:fill="auto"/>
        <w:bidi w:val="0"/>
        <w:spacing w:before="0" w:after="0" w:line="432" w:lineRule="exact"/>
        <w:ind w:right="0" w:firstLine="480" w:firstLineChars="0"/>
        <w:jc w:val="both"/>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某战队收到黄牌后，扣除当场比赛该战队60分。</w:t>
      </w:r>
    </w:p>
    <w:p>
      <w:pPr>
        <w:pStyle w:val="12"/>
        <w:keepNext w:val="0"/>
        <w:keepLines w:val="0"/>
        <w:widowControl w:val="0"/>
        <w:shd w:val="clear" w:color="auto" w:fill="auto"/>
        <w:bidi w:val="0"/>
        <w:spacing w:before="0" w:after="0" w:line="432" w:lineRule="exact"/>
        <w:ind w:right="0" w:firstLine="480" w:firstLineChars="0"/>
        <w:jc w:val="both"/>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单场比赛中，累计2张黄牌处罚升级为1张红牌，违规方机器人将被禁用。</w:t>
      </w:r>
    </w:p>
    <w:p>
      <w:pPr>
        <w:pStyle w:val="12"/>
        <w:keepNext w:val="0"/>
        <w:keepLines w:val="0"/>
        <w:widowControl w:val="0"/>
        <w:shd w:val="clear" w:color="auto" w:fill="auto"/>
        <w:bidi w:val="0"/>
        <w:spacing w:before="0" w:after="0" w:line="432" w:lineRule="exact"/>
        <w:ind w:right="0" w:firstLine="480" w:firstLineChars="0"/>
        <w:jc w:val="both"/>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en-US" w:bidi="en-US"/>
        </w:rPr>
        <w:t>黄牌以战队为单位累计</w:t>
      </w:r>
      <w:r>
        <w:rPr>
          <w:rFonts w:hint="eastAsia" w:ascii="仿宋" w:hAnsi="仿宋" w:eastAsia="仿宋" w:cs="仿宋"/>
          <w:color w:val="000000"/>
          <w:spacing w:val="0"/>
          <w:w w:val="100"/>
          <w:position w:val="0"/>
          <w:sz w:val="21"/>
          <w:szCs w:val="21"/>
          <w:lang w:val="en-US" w:eastAsia="zh-CN" w:bidi="en-US"/>
        </w:rPr>
        <w:t>。</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en-US"/>
        </w:rPr>
        <w:t>禁用</w:t>
      </w:r>
    </w:p>
    <w:p>
      <w:pPr>
        <w:pStyle w:val="12"/>
        <w:keepNext w:val="0"/>
        <w:keepLines w:val="0"/>
        <w:widowControl w:val="0"/>
        <w:numPr>
          <w:ilvl w:val="0"/>
          <w:numId w:val="0"/>
        </w:numPr>
        <w:shd w:val="clear" w:color="auto" w:fill="auto"/>
        <w:bidi w:val="0"/>
        <w:spacing w:before="0" w:after="0" w:line="432" w:lineRule="exact"/>
        <w:ind w:right="0" w:firstLine="420" w:firstLineChars="200"/>
        <w:jc w:val="both"/>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en-US" w:bidi="en-US"/>
        </w:rPr>
        <w:t>裁判对机器人发出禁用指令，要求该机器人立刻停止行动。裁判有权根据实际情况判断是否要将被禁用的机器人移出场外。在机器人故障、失控等情况发生时，参赛队员亦可以主动向裁判提出禁用机器人。</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en-US"/>
        </w:rPr>
      </w:pPr>
      <w:r>
        <w:rPr>
          <w:rFonts w:hint="eastAsia" w:ascii="黑体" w:hAnsi="黑体" w:eastAsia="黑体" w:cs="黑体"/>
          <w:b/>
          <w:bCs/>
          <w:color w:val="2E72B3"/>
          <w:spacing w:val="0"/>
          <w:w w:val="100"/>
          <w:position w:val="0"/>
          <w:sz w:val="21"/>
          <w:szCs w:val="21"/>
          <w:lang w:val="en-US" w:eastAsia="en-US"/>
        </w:rPr>
        <w:t>红牌</w:t>
      </w:r>
    </w:p>
    <w:p>
      <w:pPr>
        <w:pStyle w:val="12"/>
        <w:keepNext w:val="0"/>
        <w:keepLines w:val="0"/>
        <w:widowControl w:val="0"/>
        <w:shd w:val="clear" w:color="auto" w:fill="auto"/>
        <w:bidi w:val="0"/>
        <w:spacing w:before="0" w:after="0" w:line="432" w:lineRule="exact"/>
        <w:ind w:left="0" w:right="0" w:firstLine="480"/>
        <w:jc w:val="both"/>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E04.若某方或相关人员的行为对当场比赛的公平性造成严重影响或严重违反安全原则的行为，相应</w:t>
      </w:r>
      <w:r>
        <w:rPr>
          <w:rFonts w:hint="eastAsia" w:ascii="仿宋" w:hAnsi="仿宋" w:eastAsia="仿宋" w:cs="仿宋"/>
          <w:color w:val="000000"/>
          <w:spacing w:val="0"/>
          <w:w w:val="100"/>
          <w:position w:val="0"/>
          <w:sz w:val="21"/>
          <w:szCs w:val="21"/>
          <w:lang w:val="en-US" w:eastAsia="zh-CN" w:bidi="en-US"/>
        </w:rPr>
        <w:t>队伍</w:t>
      </w:r>
      <w:r>
        <w:rPr>
          <w:rFonts w:hint="eastAsia" w:ascii="仿宋" w:hAnsi="仿宋" w:eastAsia="仿宋" w:cs="仿宋"/>
          <w:color w:val="000000"/>
          <w:spacing w:val="0"/>
          <w:w w:val="100"/>
          <w:position w:val="0"/>
          <w:sz w:val="21"/>
          <w:szCs w:val="21"/>
          <w:lang w:val="en-US" w:eastAsia="en-US" w:bidi="en-US"/>
        </w:rPr>
        <w:t>将受到扣除120分的处罚，同时该场比赛直接判负。（获胜方增加分数至高干判负方10分）</w:t>
      </w:r>
    </w:p>
    <w:p>
      <w:pPr>
        <w:pStyle w:val="12"/>
        <w:keepNext w:val="0"/>
        <w:keepLines w:val="0"/>
        <w:widowControl w:val="0"/>
        <w:shd w:val="clear" w:color="auto" w:fill="auto"/>
        <w:bidi w:val="0"/>
        <w:spacing w:before="0" w:after="0" w:line="432" w:lineRule="exact"/>
        <w:ind w:left="0" w:right="0" w:firstLine="480"/>
        <w:jc w:val="both"/>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红牌处罚说明：</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以</w:t>
      </w:r>
      <w:r>
        <w:rPr>
          <w:rFonts w:hint="eastAsia" w:ascii="仿宋" w:hAnsi="仿宋" w:eastAsia="仿宋" w:cs="仿宋"/>
          <w:color w:val="000000"/>
          <w:spacing w:val="0"/>
          <w:w w:val="100"/>
          <w:position w:val="0"/>
          <w:sz w:val="21"/>
          <w:szCs w:val="21"/>
          <w:lang w:val="en-US" w:eastAsia="zh-CN" w:bidi="en-US"/>
        </w:rPr>
        <w:t>战队</w:t>
      </w:r>
      <w:r>
        <w:rPr>
          <w:rFonts w:hint="eastAsia" w:ascii="仿宋" w:hAnsi="仿宋" w:eastAsia="仿宋" w:cs="仿宋"/>
          <w:color w:val="000000"/>
          <w:spacing w:val="0"/>
          <w:w w:val="100"/>
          <w:position w:val="0"/>
          <w:sz w:val="21"/>
          <w:szCs w:val="21"/>
          <w:lang w:val="en-US" w:eastAsia="en-US" w:bidi="en-US"/>
        </w:rPr>
        <w:t>为单位，某</w:t>
      </w:r>
      <w:r>
        <w:rPr>
          <w:rFonts w:hint="eastAsia" w:ascii="仿宋" w:hAnsi="仿宋" w:eastAsia="仿宋" w:cs="仿宋"/>
          <w:color w:val="000000"/>
          <w:spacing w:val="0"/>
          <w:w w:val="100"/>
          <w:position w:val="0"/>
          <w:sz w:val="21"/>
          <w:szCs w:val="21"/>
          <w:lang w:val="en-US" w:eastAsia="zh-CN" w:bidi="en-US"/>
        </w:rPr>
        <w:t>战队</w:t>
      </w:r>
      <w:r>
        <w:rPr>
          <w:rFonts w:hint="eastAsia" w:ascii="仿宋" w:hAnsi="仿宋" w:eastAsia="仿宋" w:cs="仿宋"/>
          <w:color w:val="000000"/>
          <w:spacing w:val="0"/>
          <w:w w:val="100"/>
          <w:position w:val="0"/>
          <w:sz w:val="21"/>
          <w:szCs w:val="21"/>
          <w:lang w:val="en-US" w:eastAsia="en-US" w:bidi="en-US"/>
        </w:rPr>
        <w:t>收到红牌处罚，该场比赛直接判负。（获胜方增加分数至高干判负方10分）</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取消比赛资格</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000000"/>
          <w:spacing w:val="0"/>
          <w:w w:val="100"/>
          <w:position w:val="0"/>
          <w:sz w:val="21"/>
          <w:szCs w:val="21"/>
          <w:lang w:val="en-US" w:eastAsia="en-US" w:bidi="en-US"/>
        </w:rPr>
      </w:pPr>
      <w:r>
        <w:rPr>
          <w:rFonts w:hint="eastAsia" w:ascii="仿宋" w:hAnsi="仿宋" w:eastAsia="仿宋" w:cs="仿宋"/>
          <w:color w:val="000000"/>
          <w:spacing w:val="0"/>
          <w:w w:val="100"/>
          <w:position w:val="0"/>
          <w:sz w:val="21"/>
          <w:szCs w:val="21"/>
          <w:lang w:val="en-US" w:eastAsia="en-US" w:bidi="en-US"/>
        </w:rPr>
        <w:t>E06.裁判取消参赛队的比赛资格。战队的机器人立即被禁用，战队不得继续参与该场比赛或下一场比赛。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 xml:space="preserve">6.2操作规则 </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危险结构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R01,若机器人存在可能对人体造成伤害的结构，如锐利的尖角等，则必须对其采取安全保护措施。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·犯规机器人将被判警告，选手需要对机器人进行整改，否则机器人将被禁用。</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100" w:line="432" w:lineRule="exact"/>
        <w:ind w:leftChars="0" w:firstLine="422" w:firstLineChars="200"/>
        <w:jc w:val="left"/>
        <w:textAlignment w:val="auto"/>
        <w:rPr>
          <w:rFonts w:hint="eastAsia" w:ascii="黑体" w:hAnsi="黑体" w:eastAsia="黑体" w:cs="黑体"/>
          <w:b/>
          <w:bCs/>
          <w:color w:val="2E72B3"/>
          <w:spacing w:val="0"/>
          <w:w w:val="100"/>
          <w:position w:val="0"/>
          <w:sz w:val="21"/>
          <w:szCs w:val="21"/>
          <w:lang w:val="en-US" w:eastAsia="zh-CN" w:bidi="en-US"/>
        </w:rPr>
      </w:pPr>
      <w:r>
        <w:rPr>
          <w:rFonts w:hint="eastAsia" w:ascii="黑体" w:hAnsi="黑体" w:eastAsia="黑体" w:cs="黑体"/>
          <w:b/>
          <w:bCs/>
          <w:color w:val="2E72B3"/>
          <w:spacing w:val="0"/>
          <w:w w:val="100"/>
          <w:position w:val="0"/>
          <w:sz w:val="21"/>
          <w:szCs w:val="21"/>
          <w:lang w:val="en-US" w:eastAsia="zh-CN" w:bidi="en-US"/>
        </w:rPr>
        <w:t>破坏或污染场地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R02,比赛期间，机器人不得恶意“攀爬”或“冲撞”场地边界和中央隔栏。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·犯规方机器人将被判当场比赛禁用，两次违规将被判取消整场比赛资格。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R03,若场地被机器人污染，则机器人将被判定为不安全状态。比赛全程中机器人不得使用双面胶或胶水等固着场地元素。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·犯规方机器人将被判当场比赛禁用，两次违规将被判取消整场比赛资格。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破坏其它机器人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R04.比赛期间，机器人不得冲撞比赛场地上的其他机器人。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·犯规方机器人将被判当场比赛禁用，两次违规将被判取消整场比赛资格。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机器人出界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R05.比赛过程中，机器人的任何部分均不得超出场地边界或进入对方阵地。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如果机器人出界，须在3秒之内返回本方区域，裁判将会进行口头读秒提醒。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·未按时返回的战队将被判违例，多次违规者将被判取消比赛资格。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使用违规材料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R06.严格禁止机器人使用危险的材料或具备危险的机构，例如：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(1)易燃气体、产生火或者烟的设备、液压油或液压件、含有液态汞(水银)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的开关或触点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(2)危险材料(如铅)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可能造成场地污染的材料，例如沙子等可能在比赛中散落的物体;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可能造成机器人固连的材料;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(5)有锋利边角易造成伤害的材料；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(6)使用动物制成的材料(出于健康和法律考虑)；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(7)含有液体或胶状物的材料(按规定使用的胶水、润滑油除外)；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(8)可能将机器人上电流传导至场地上的任何零件；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·犯规方机器人将被判禁用。如果机器人还要参加比赛，选手需要 对机器人进行整改，并接受再次检查。两次违规将被判取消本场 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其他不安全因素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R07 在R06.项目之外，裁判有权针对特定机器人是否安全进行单独判定。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 xml:space="preserve"> •犯规方机器人将被判禁用。如果机器人还要参加比赛，选手需要 对机器人进行整改，并接受再次检查。两次违规将被判取消比赛资格。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操控团队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R08 每个参赛战队包含两名选手，选出其中一人为战队队长。</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参赛队员要求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R09,在备赛、调试机器人、上场比赛等环节，留长发者应将头发扎起。参赛队员应穿不露出脚趾的鞋进入场地。</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参赛队员站位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R10,比赛过程中，参赛队员仅可在己方半场的边框外侧活动(实际区域大 小视比赛现场情况而定)。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·犯规方将被判口头警告，两次违规将被判违例。情节恶劣者裁判有权取消比赛资格。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pPr>
      <w:r>
        <w:drawing>
          <wp:inline distT="0" distB="0" distL="114300" distR="114300">
            <wp:extent cx="4319905" cy="2851150"/>
            <wp:effectExtent l="0" t="0" r="8255" b="13970"/>
            <wp:docPr id="27" name="图片 25" descr="C:\Users\zzq\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C:\Users\zzq\Desktop\图片1.png图片1"/>
                    <pic:cNvPicPr>
                      <a:picLocks noChangeAspect="1"/>
                    </pic:cNvPicPr>
                  </pic:nvPicPr>
                  <pic:blipFill>
                    <a:blip r:embed="rId29"/>
                    <a:srcRect/>
                    <a:stretch>
                      <a:fillRect/>
                    </a:stretch>
                  </pic:blipFill>
                  <pic:spPr>
                    <a:xfrm>
                      <a:off x="0" y="0"/>
                      <a:ext cx="4319905" cy="2851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选手站位图</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比赛中替换场上队员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R11 在比赛过程中不允许场外第三人替换场上队员。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·犯规方将被判红牌。</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淘汰赛相关规则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R12 淘汰赛三局比赛中，每局比赛结束后，战队最多有5分钟的调试时间，不得超时。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·犯规方将被判警告，</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提前开始比赛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R13 在裁判宣布比赛开始前，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延退结束比赛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R14 在自动控制阶段、手动控制阶段结束后，操作手应停止机器人的运动 程序或停止操作机器人（机器人由于惯性导致的运动除外）。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·犯规方将被判违例，若延迟结束比赛为犯规方带来比赛优势，裁判应判无效得分，并尽量恢复场地原有状态。</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携带违规电子设备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R15 除比赛允许使用的电子通讯设备外，不允许参赛队员携带其他电子通 讯设备进入比赛场地（手机、对讲机、电脑、无线网络设备等）。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·犯规方将被判违例，二次违反将被判黄牌，情节恶劣者裁判有权取消比赛资格。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自动控制阶段违规操控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R16 选手须提前完成蓝牙手柄与机器人的配对。自动控制阶段，蓝牙手柄 应放置于场地外；自动控制阶段结束后，方可拿起蓝牙手柄操控机器人；手动控 制阶段结束后，须立即停止操控机器人。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·犯规方将被判违例，自动控制阶段使用蓝牙手柄将直接判罚红牌, 情节恶劣者裁判有权取消比赛资格。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操控被禁用的机器人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R17 机器人被判禁用后，操控手不得继续操控。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·违规者首次将判罚违例，严重违规将判罚黄牌，直至取消比赛资格。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机器人遗留零部件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R18 比赛期间，机器人不可以分离（分离指与机器人主体分离，并不受控 制）零部件或把机械装置遗留在比赛场地。因对方机器人的碰撞或其他机器人的直接接触行为导致的脱落除外。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·若影响比赛进行，犯规方将被判违例，两次违规将被判黄牌。</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机器人在比赛过程中不符合规范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R19,机器人在比赛过程中的尺寸、重量等参数须符合相关比赛规范。因被对手抛射场地元素击中，导致机器人尺寸超出比赛尺寸限制除外。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·犯规方将被判红牌。</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违规抛射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 xml:space="preserve">R20 机器人不可将不被允许抛射的场地元素从己方场地上抛向对方场地。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·犯规方将被判黄牌，如造成对方场地元素的变化，需暂停还原。</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场地元素难与机器人分离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R21 机器人的设计须满足轻易地将比赛元素从任何抓取、含有或持有的机 械结构上移除。即便是禁用或关闭电源的情况下，机器人仍应在不破坏场地的前提下被带出场地。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·选手需要对机器人进行整改，两次违规将被判取消比赛资格。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进入对方区域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R22.比赛过程中，机器人垂直投影面不得以任何形式部分或完全进入对方区域垂直投影面。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·犯规方将被判黄牌。</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限制对方机器人移动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R23 机器人不可阻止对方机器人的全方位移动或阻止对方机器人接触场地元素。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·犯规方将被判违例，情节恶劣者将被判黄牌。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R24 因为机器人部分进入对方区域而导致对方机器人被别住或者限制，裁判可视情况暂停比赛，警告双方机器人尽快分离。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·犯规方将被判违例，情节恶劣者将被判黄牌。</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违规接触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R25 自动控制阶段，机器人不得抢夺或直接接触中央区的道具，仅可利用本方道具完成任务。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·蓄意将中央资源区球拨至己方场地内将被判罚黄牌，二次违规者升级为红牌，该机器人禁用，多次违规者将被判取消比赛资格。 因机器人故障卡在中央资源区或者由于抛射本方球造成的中央资源区道具改变初始位置不在此范围内。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R26 比赛过程中，参赛队员不得触碰比赛场地内的任何场地元素或机器人（改装机器人除外），身体不得伸入场地影响对方得分。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·犯规方将被判违例，如对比分或者比赛进行造成影响将判罚黄牌, 情节恶劣者裁判有权取消比赛资格。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仿宋" w:hAnsi="仿宋" w:eastAsia="仿宋" w:cs="仿宋"/>
          <w:color w:val="000000"/>
          <w:spacing w:val="0"/>
          <w:w w:val="100"/>
          <w:position w:val="0"/>
          <w:sz w:val="21"/>
          <w:szCs w:val="21"/>
          <w:highlight w:val="none"/>
          <w:lang w:val="en-US" w:eastAsia="zh-CN" w:bidi="en-US"/>
        </w:rPr>
      </w:pPr>
      <w:r>
        <w:rPr>
          <w:rFonts w:hint="eastAsia" w:ascii="黑体" w:hAnsi="黑体" w:eastAsia="黑体" w:cs="黑体"/>
          <w:b/>
          <w:bCs/>
          <w:color w:val="2E72B3"/>
          <w:spacing w:val="0"/>
          <w:w w:val="100"/>
          <w:position w:val="0"/>
          <w:sz w:val="21"/>
          <w:szCs w:val="21"/>
          <w:highlight w:val="none"/>
          <w:lang w:val="en-US" w:eastAsia="zh-CN"/>
        </w:rPr>
        <w:t>机器人接触本方球门区域内的得分道具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highlight w:val="none"/>
          <w:lang w:val="en-US" w:eastAsia="zh-CN" w:bidi="en-US"/>
        </w:rPr>
      </w:pPr>
      <w:r>
        <w:rPr>
          <w:rFonts w:hint="eastAsia" w:ascii="仿宋" w:hAnsi="仿宋" w:eastAsia="仿宋" w:cs="仿宋"/>
          <w:color w:val="000000"/>
          <w:spacing w:val="0"/>
          <w:w w:val="100"/>
          <w:position w:val="0"/>
          <w:sz w:val="21"/>
          <w:szCs w:val="21"/>
          <w:highlight w:val="none"/>
          <w:lang w:val="en-US" w:eastAsia="zh-CN" w:bidi="en-US"/>
        </w:rPr>
        <w:t>R27 比赛过程中，机器人的任何部分不得接触完全进入本方球门区域的得分道具（包括球类、方块、环保旗帜）。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highlight w:val="yellow"/>
          <w:lang w:val="en-US" w:eastAsia="zh-CN" w:bidi="en-US"/>
        </w:rPr>
      </w:pPr>
      <w:r>
        <w:rPr>
          <w:rFonts w:hint="eastAsia" w:ascii="仿宋" w:hAnsi="仿宋" w:eastAsia="仿宋" w:cs="仿宋"/>
          <w:color w:val="000000"/>
          <w:spacing w:val="0"/>
          <w:w w:val="100"/>
          <w:position w:val="0"/>
          <w:sz w:val="21"/>
          <w:szCs w:val="21"/>
          <w:highlight w:val="none"/>
          <w:lang w:val="en-US" w:eastAsia="zh-CN" w:bidi="en-US"/>
        </w:rPr>
        <w:t>·违规方首次违规将被判红牌，机器人被禁用，移出场外。</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违规移出道具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R29 机器人不可故意将任何场地道具移出场外。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·犯规方将被判违例，多次违规者将被判取消比赛资格。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违例指导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R31 在比赛全过程中，除参赛战队成员外任何的相关人员（包括但不限于选手的家长或者指导教师）不得通过任何方式进入赛场区并进行任何形式的指导。 若发生违例指导，裁判有权当场取消该参赛战队本场比赛的比赛资格。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·犯规方将被判警告，若拒不改正，犯规方将被判违例，并可视情 况加大处罚力度，直至取消比赛资格。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场外接触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R32 比赛进行过程中参赛队员不允许与场外人员及观赛人员有任何接触，包括但不限于零件、遥控手柄的传递。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·犯规方将被判违例，二次违规将被判黄牌，多次违规者将被取消比赛资格。</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申诉及仲裁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7.1比赛结果确认</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成绩确认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比赛结束，在裁判做完比赛统计和判定后，双方队长需要在成绩确认单上签字确认比赛成绩，经队长对比赛成绩签字确认后，组委会不再接受该场比赛的任何申诉。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争议处理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若当场比赛的参赛队员对该场比赛结果仍存在异议，且对当值裁判的解释依然不认同的，可不签字确认成绩，但须在成绩确认单备注栏上写明情况后方可离场。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7.2申诉流程及申诉时效</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不应带过多的情绪。</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有效申诉期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有效申诉期一般为单场比赛结束后30分钟内，申诉方及被申诉方须在与裁判长约定的时间内到场。</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申诉回应时效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仲裁委员会一般会在当天比赛结束之后或次日比赛开始之前回应申诉。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7.3无效申诉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超时的申诉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申诉人员超出规定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申诉方必须为参赛战队选手，其他人员的申诉将不予以受理。申诉双方的家长、指导教师等超出规定的人员在未经仲裁委员会允许的情况下参与仲裁过程, 仲裁委员会将会对违规战队提出警告。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申诉诉求不清晰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若因情绪等因素无法客观冷静地表达仲裁诉求，导致仲裁委员会无法正常的 理解申诉事实，无法正常进行情况调查，仲裁委员会将会对犯规方提出警告。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不文明的申诉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申诉双方不得做出不文明的行为，不得产生过激的动作和言语。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·多次警告无效，将取消比赛资格。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7.4仲裁流程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仲裁处理过程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仲裁委员会由裁判长、仲裁顾问、赛事技术负责人组成。仲裁委员会负责受 理比赛中出现的申诉并进行仲裁调查，以保证大赛的顺利进行和大赛结果的公平、公正。任何比赛的回放录像、照片因可能存在因拍摄角度导致的不准确问题，仅作为仲裁委员会参考，不作为仲裁证据。</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仲裁处理结果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spacing w:val="0"/>
          <w:w w:val="100"/>
          <w:position w:val="0"/>
          <w:sz w:val="21"/>
          <w:szCs w:val="21"/>
          <w:lang w:val="en-US" w:eastAsia="zh-CN" w:bidi="en-US"/>
        </w:rPr>
      </w:pPr>
      <w:r>
        <w:rPr>
          <w:rFonts w:hint="eastAsia" w:ascii="仿宋" w:hAnsi="仿宋" w:eastAsia="仿宋" w:cs="仿宋"/>
          <w:color w:val="000000"/>
          <w:spacing w:val="0"/>
          <w:w w:val="100"/>
          <w:position w:val="0"/>
          <w:sz w:val="21"/>
          <w:szCs w:val="21"/>
          <w:lang w:val="en-US" w:eastAsia="zh-CN" w:bidi="en-US"/>
        </w:rPr>
        <w:t>仲裁结果分为“维持原本比赛成绩”和“双方重赛”两种，双方不可以再次 申诉。如若仲裁结果为“双方重赛”，双方需按照申诉单规定的时间场次进行重赛，规定时间5分钟内未到达场地进行比赛，视为放弃比赛。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仲裁处理补充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sz w:val="28"/>
          <w:szCs w:val="28"/>
          <w:lang w:val="en-US" w:eastAsia="zh-CN"/>
        </w:rPr>
      </w:pPr>
      <w:r>
        <w:rPr>
          <w:rFonts w:hint="eastAsia" w:ascii="仿宋" w:hAnsi="仿宋" w:eastAsia="仿宋" w:cs="仿宋"/>
          <w:color w:val="000000"/>
          <w:spacing w:val="0"/>
          <w:w w:val="100"/>
          <w:position w:val="0"/>
          <w:sz w:val="21"/>
          <w:szCs w:val="21"/>
          <w:lang w:val="en-US" w:eastAsia="zh-CN" w:bidi="en-US"/>
        </w:rPr>
        <w:t>仲裁委员会给出最终仲裁结果后，双方均不能再对申诉结果产生异议。</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计分表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lang w:val="en-US" w:eastAsia="zh-CN"/>
        </w:rPr>
      </w:pPr>
      <w:r>
        <w:drawing>
          <wp:inline distT="0" distB="0" distL="114300" distR="114300">
            <wp:extent cx="4618355" cy="3239135"/>
            <wp:effectExtent l="0" t="0" r="14605" b="6985"/>
            <wp:docPr id="31" name="图片 26" descr="C:\Users\zzq\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C:\Users\zzq\Desktop\图片2.png图片2"/>
                    <pic:cNvPicPr>
                      <a:picLocks noChangeAspect="1"/>
                    </pic:cNvPicPr>
                  </pic:nvPicPr>
                  <pic:blipFill>
                    <a:blip r:embed="rId30"/>
                    <a:srcRect/>
                    <a:stretch>
                      <a:fillRect/>
                    </a:stretch>
                  </pic:blipFill>
                  <pic:spPr>
                    <a:xfrm>
                      <a:off x="0" y="0"/>
                      <a:ext cx="4618355" cy="32391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附录：</w:t>
      </w:r>
    </w:p>
    <w:tbl>
      <w:tblPr>
        <w:tblStyle w:val="5"/>
        <w:tblW w:w="78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2"/>
        <w:gridCol w:w="1344"/>
        <w:gridCol w:w="3780"/>
        <w:gridCol w:w="1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机器人自检表（初中组）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机器人数量、尺寸与重量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具体要求</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机器人数量</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战队在比赛过程中，只允许使用一台机器人参赛，在检录过后不得更换机器人。</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2</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机器人尺寸</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最大延展尺寸指机器人在操作的过程中运动伸展至极限状态的尺寸。机器人比赛过程中的最大延展尺寸要求∶320mm（长）x320mm（宽）x360mm（高）。</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3</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机器人重量</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每个机器人不可超过 4 kg（指比赛过程中机器人任意时刻最大净重量，包含电池，不包含环保旗帜）。</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环保旗帜</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旗面材料不限，尺寸不小于80mm（长）*60mm（宽））旗杆直径应小于旗筒内径，长度不小于100mm。</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center"/>
              <w:textAlignment w:val="auto"/>
              <w:rPr>
                <w:rFonts w:hint="eastAsia" w:ascii="仿宋" w:hAnsi="仿宋" w:eastAsia="仿宋" w:cs="仿宋"/>
                <w:b w:val="0"/>
                <w:bCs w:val="0"/>
                <w:i w:val="0"/>
                <w:iCs w:val="0"/>
                <w:color w:val="000000"/>
                <w:sz w:val="21"/>
                <w:szCs w:val="21"/>
                <w:u w:val="none"/>
                <w:lang w:bidi="en-US"/>
              </w:rPr>
            </w:pPr>
            <w:r>
              <w:rPr>
                <w:rFonts w:hint="eastAsia" w:ascii="黑体" w:hAnsi="宋体" w:eastAsia="黑体" w:cs="黑体"/>
                <w:b w:val="0"/>
                <w:bCs w:val="0"/>
                <w:i w:val="0"/>
                <w:iCs w:val="0"/>
                <w:color w:val="000000"/>
                <w:kern w:val="0"/>
                <w:sz w:val="22"/>
                <w:szCs w:val="22"/>
                <w:u w:val="none"/>
                <w:lang w:val="en-US" w:eastAsia="zh-CN" w:bidi="ar"/>
              </w:rPr>
              <w:t>机器人安全性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序号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具体要求</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5</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安全防护</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机器人在夹持、搬运等过程中可能对人员造成伤害的结构与零件，须具备安全防护。</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6</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破坏场地</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在机器夹持、搬运等过程中不可破坏场地。</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7</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大功率工具</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战队在比赛中及比赛准备过程中不可使用大功率危险器材。</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8</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储能设备</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若机器人使用储能设备（弹簧）等，在使用的过程中应保证安全。</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9</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禁用材料</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不可使用易燃气体、有起火风险的设备、液压零件、含水银的零件、暴露的危险材料、不安全的配重、可能造成纠缠和比赛延迟的设计、锋利边角、含有液体或胶状物的材料、可能将机器人上电流导至场地上的任何零件。</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10</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人员安全</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上场参赛队员留长发者扎起；参赛队员禁止穿露脚趾的鞋进入场地。</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78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center"/>
              <w:textAlignment w:val="auto"/>
              <w:rPr>
                <w:rFonts w:hint="eastAsia" w:ascii="仿宋" w:hAnsi="仿宋" w:eastAsia="仿宋" w:cs="仿宋"/>
                <w:i w:val="0"/>
                <w:iCs w:val="0"/>
                <w:color w:val="000000"/>
                <w:sz w:val="21"/>
                <w:szCs w:val="21"/>
                <w:u w:val="none"/>
                <w:lang w:bidi="en-US"/>
              </w:rPr>
            </w:pPr>
            <w:r>
              <w:rPr>
                <w:rFonts w:hint="eastAsia" w:ascii="黑体" w:hAnsi="宋体" w:eastAsia="黑体" w:cs="黑体"/>
                <w:i w:val="0"/>
                <w:iCs w:val="0"/>
                <w:color w:val="000000"/>
                <w:kern w:val="0"/>
                <w:sz w:val="22"/>
                <w:szCs w:val="22"/>
                <w:u w:val="none"/>
                <w:lang w:val="en-US" w:eastAsia="zh-CN" w:bidi="ar"/>
              </w:rPr>
              <w:t>机器人器材使用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序号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具体要求</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bidi="en-US"/>
              </w:rPr>
            </w:pPr>
            <w:r>
              <w:rPr>
                <w:rFonts w:hint="eastAsia" w:ascii="仿宋" w:hAnsi="仿宋" w:eastAsia="仿宋" w:cs="仿宋"/>
                <w:i w:val="0"/>
                <w:iCs w:val="0"/>
                <w:color w:val="000000"/>
                <w:kern w:val="2"/>
                <w:sz w:val="21"/>
                <w:szCs w:val="21"/>
                <w:u w:val="none"/>
                <w:lang w:val="en-US" w:eastAsia="zh-CN" w:bidi="en-US"/>
              </w:rPr>
              <w:t>11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主控</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·处理器：高 ESP32-WROVER-B</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·主频：240MHz</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·工作电压：6V-13V （若使用电机时，输入最低电压必须满足电机工作电压要求）</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·通讯端口及协议：串口/mBuild协议</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8"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bidi="en-US"/>
              </w:rPr>
            </w:pPr>
            <w:r>
              <w:rPr>
                <w:rFonts w:hint="eastAsia" w:ascii="仿宋" w:hAnsi="仿宋" w:eastAsia="仿宋" w:cs="仿宋"/>
                <w:i w:val="0"/>
                <w:iCs w:val="0"/>
                <w:color w:val="000000"/>
                <w:kern w:val="2"/>
                <w:sz w:val="21"/>
                <w:szCs w:val="21"/>
                <w:u w:val="none"/>
                <w:lang w:val="en-US" w:eastAsia="zh-CN" w:bidi="en-US"/>
              </w:rPr>
              <w:t>12</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传感器系统</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视觉传感器</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视场角：65.0度</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有效焦距∶4.65±5%mm</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识别速度∶60 帧/s</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识别距离∶0.25-1.2m 范围最佳</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供电方式∶3.7V锂电池或5VmBuild 电源模块</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功耗范围∶0.9-1.3W</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超声波传感器</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工作电压∶DC 5V</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读值范围∶5-300cm</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读值误差∶±5%</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巡线传感器</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工作电压∶DC 5V</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检测高度∶5mm-15mm</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类型和数量不限</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bidi="en-US"/>
              </w:rPr>
            </w:pPr>
            <w:r>
              <w:rPr>
                <w:rFonts w:hint="eastAsia" w:ascii="仿宋" w:hAnsi="仿宋" w:eastAsia="仿宋" w:cs="仿宋"/>
                <w:i w:val="0"/>
                <w:iCs w:val="0"/>
                <w:color w:val="000000"/>
                <w:kern w:val="2"/>
                <w:sz w:val="21"/>
                <w:szCs w:val="21"/>
                <w:u w:val="none"/>
                <w:lang w:val="en-US" w:eastAsia="zh-CN" w:bidi="en-US"/>
              </w:rPr>
              <w:t>13</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电机与舵机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180光电编码电机、高速TT电机、MS-1.5A智能舵机、MECDS-150 舵机，37直流电机，且总数量不得超过8个。</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禁止更改任何电机或舵机内部的机械结构和电气布局</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总数量不超过8个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14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蓝牙手柄</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比赛必须使用蓝牙手柄，且仅由操作手使用。</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bidi="en-US"/>
              </w:rPr>
            </w:pPr>
            <w:r>
              <w:rPr>
                <w:rFonts w:hint="eastAsia" w:ascii="仿宋" w:hAnsi="仿宋" w:eastAsia="仿宋" w:cs="仿宋"/>
                <w:i w:val="0"/>
                <w:iCs w:val="0"/>
                <w:color w:val="000000"/>
                <w:kern w:val="2"/>
                <w:sz w:val="21"/>
                <w:szCs w:val="21"/>
                <w:u w:val="none"/>
                <w:lang w:val="en-US" w:eastAsia="zh-CN" w:bidi="en-US"/>
              </w:rPr>
              <w:t>15</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自制零件</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战队可以使用如下材料自制零件∶3D 打印件、瓦楞纸、木头、亚克力板以及橡皮筋等，自制零件不可印有厂家LOGO</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eastAsia="zh-CN" w:bidi="en-US"/>
              </w:rPr>
            </w:pPr>
            <w:r>
              <w:rPr>
                <w:rFonts w:hint="eastAsia" w:ascii="仿宋" w:hAnsi="仿宋" w:eastAsia="仿宋" w:cs="仿宋"/>
                <w:i w:val="0"/>
                <w:iCs w:val="0"/>
                <w:color w:val="000000"/>
                <w:sz w:val="21"/>
                <w:szCs w:val="21"/>
                <w:u w:val="none"/>
                <w:lang w:val="en-US" w:eastAsia="zh-CN" w:bidi="en-US"/>
              </w:rPr>
              <w:t>16</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机械零件</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战队不允许使用多自由度商业产品搭建机器人∶ 包括但不限于多自由度机械臂、机械手等，不包含金属、塑料结构件。</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default" w:ascii="仿宋" w:hAnsi="仿宋" w:eastAsia="仿宋" w:cs="仿宋"/>
                <w:i w:val="0"/>
                <w:iCs w:val="0"/>
                <w:color w:val="000000"/>
                <w:sz w:val="21"/>
                <w:szCs w:val="21"/>
                <w:u w:val="none"/>
                <w:lang w:val="en-US" w:bidi="en-US"/>
              </w:rPr>
            </w:pPr>
            <w:r>
              <w:rPr>
                <w:rFonts w:hint="eastAsia" w:ascii="仿宋" w:hAnsi="仿宋" w:eastAsia="仿宋" w:cs="仿宋"/>
                <w:i w:val="0"/>
                <w:iCs w:val="0"/>
                <w:color w:val="000000"/>
                <w:kern w:val="2"/>
                <w:sz w:val="21"/>
                <w:szCs w:val="21"/>
                <w:u w:val="none"/>
                <w:lang w:val="en-US" w:eastAsia="zh-CN" w:bidi="en-US"/>
              </w:rPr>
              <w:t>17</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0" w:firstLineChars="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电池</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18650 锂电池</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kern w:val="2"/>
                <w:sz w:val="21"/>
                <w:szCs w:val="21"/>
                <w:u w:val="none"/>
                <w:lang w:val="en-US" w:eastAsia="zh-CN" w:bidi="en-US"/>
              </w:rPr>
            </w:pPr>
            <w:r>
              <w:rPr>
                <w:rFonts w:hint="eastAsia" w:ascii="仿宋" w:hAnsi="仿宋" w:eastAsia="仿宋" w:cs="仿宋"/>
                <w:i w:val="0"/>
                <w:iCs w:val="0"/>
                <w:color w:val="000000"/>
                <w:kern w:val="2"/>
                <w:sz w:val="21"/>
                <w:szCs w:val="21"/>
                <w:u w:val="none"/>
                <w:lang w:val="en-US" w:eastAsia="zh-CN" w:bidi="en-US"/>
              </w:rPr>
              <w:t>电池参数：3.7V 2500mAh</w:t>
            </w:r>
          </w:p>
          <w:p>
            <w:pPr>
              <w:keepNext w:val="0"/>
              <w:keepLines w:val="0"/>
              <w:widowControl w:val="0"/>
              <w:numPr>
                <w:ilvl w:val="0"/>
                <w:numId w:val="0"/>
              </w:numPr>
              <w:suppressLineNumbers w:val="0"/>
              <w:spacing w:line="360" w:lineRule="auto"/>
              <w:ind w:firstLine="420" w:firstLineChars="200"/>
              <w:jc w:val="left"/>
              <w:textAlignment w:val="auto"/>
              <w:rPr>
                <w:rFonts w:hint="eastAsia" w:ascii="仿宋" w:hAnsi="仿宋" w:eastAsia="仿宋" w:cs="仿宋"/>
                <w:i w:val="0"/>
                <w:iCs w:val="0"/>
                <w:color w:val="000000"/>
                <w:sz w:val="21"/>
                <w:szCs w:val="21"/>
                <w:u w:val="none"/>
                <w:lang w:bidi="en-US"/>
              </w:rPr>
            </w:pPr>
            <w:r>
              <w:rPr>
                <w:rFonts w:hint="eastAsia" w:ascii="仿宋" w:hAnsi="仿宋" w:eastAsia="仿宋" w:cs="仿宋"/>
                <w:i w:val="0"/>
                <w:iCs w:val="0"/>
                <w:color w:val="000000"/>
                <w:kern w:val="2"/>
                <w:sz w:val="21"/>
                <w:szCs w:val="21"/>
                <w:u w:val="none"/>
                <w:lang w:val="en-US" w:eastAsia="zh-CN" w:bidi="en-US"/>
              </w:rPr>
              <w:t>输出电压/电流：5V 6A</w:t>
            </w:r>
          </w:p>
        </w:tc>
        <w:tc>
          <w:tcPr>
            <w:tcW w:w="18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firstLine="420" w:firstLineChars="200"/>
              <w:jc w:val="left"/>
              <w:rPr>
                <w:rFonts w:hint="eastAsia" w:ascii="仿宋" w:hAnsi="仿宋" w:eastAsia="仿宋" w:cs="仿宋"/>
                <w:i w:val="0"/>
                <w:iCs w:val="0"/>
                <w:color w:val="000000"/>
                <w:sz w:val="21"/>
                <w:szCs w:val="21"/>
                <w:u w:val="none"/>
                <w:lang w:bidi="en-US"/>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sectPr>
      <w:footerReference r:id="rId3" w:type="default"/>
      <w:pgSz w:w="11906" w:h="16838"/>
      <w:pgMar w:top="1440" w:right="1701" w:bottom="1440" w:left="1701" w:header="851" w:footer="992" w:gutter="0"/>
      <w:pgNumType w:fmt="decimal" w:start="4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方正小标宋简体">
    <w:altName w:val="黑体"/>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黑体 CN Regular">
    <w:panose1 w:val="020B0500000000000000"/>
    <w:charset w:val="86"/>
    <w:family w:val="swiss"/>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10EB4"/>
    <w:multiLevelType w:val="singleLevel"/>
    <w:tmpl w:val="ACC10EB4"/>
    <w:lvl w:ilvl="0" w:tentative="0">
      <w:start w:val="1"/>
      <w:numFmt w:val="decimal"/>
      <w:suff w:val="space"/>
      <w:lvlText w:val="%1."/>
      <w:lvlJc w:val="left"/>
    </w:lvl>
  </w:abstractNum>
  <w:abstractNum w:abstractNumId="1">
    <w:nsid w:val="1133942E"/>
    <w:multiLevelType w:val="singleLevel"/>
    <w:tmpl w:val="1133942E"/>
    <w:lvl w:ilvl="0" w:tentative="0">
      <w:start w:val="2"/>
      <w:numFmt w:val="decimal"/>
      <w:suff w:val="space"/>
      <w:lvlText w:val="%1."/>
      <w:lvlJc w:val="left"/>
    </w:lvl>
  </w:abstractNum>
  <w:abstractNum w:abstractNumId="2">
    <w:nsid w:val="5B7EBC4D"/>
    <w:multiLevelType w:val="singleLevel"/>
    <w:tmpl w:val="5B7EBC4D"/>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ODY1Mjk2YmY5YTQwZDRhMmY0ZTYyOTdkZmM0NjIifQ=="/>
  </w:docVars>
  <w:rsids>
    <w:rsidRoot w:val="3F571B2E"/>
    <w:rsid w:val="00675481"/>
    <w:rsid w:val="009C15CF"/>
    <w:rsid w:val="00B0507A"/>
    <w:rsid w:val="00D30581"/>
    <w:rsid w:val="015E37B5"/>
    <w:rsid w:val="019E75D4"/>
    <w:rsid w:val="020967F0"/>
    <w:rsid w:val="023F4ABB"/>
    <w:rsid w:val="02477318"/>
    <w:rsid w:val="02714395"/>
    <w:rsid w:val="029F0F02"/>
    <w:rsid w:val="02A1351E"/>
    <w:rsid w:val="03073915"/>
    <w:rsid w:val="03B93191"/>
    <w:rsid w:val="05CB200E"/>
    <w:rsid w:val="06063EE2"/>
    <w:rsid w:val="063F6C84"/>
    <w:rsid w:val="076D32D1"/>
    <w:rsid w:val="07E476D3"/>
    <w:rsid w:val="07E75618"/>
    <w:rsid w:val="082F2D28"/>
    <w:rsid w:val="08CC0577"/>
    <w:rsid w:val="08EE6740"/>
    <w:rsid w:val="0908014B"/>
    <w:rsid w:val="09C851A7"/>
    <w:rsid w:val="0A2166A1"/>
    <w:rsid w:val="0A5B1BB3"/>
    <w:rsid w:val="0A7D517F"/>
    <w:rsid w:val="0AAF206C"/>
    <w:rsid w:val="0B923CFA"/>
    <w:rsid w:val="0BB73761"/>
    <w:rsid w:val="0C50326D"/>
    <w:rsid w:val="0E3941BA"/>
    <w:rsid w:val="0E4E67F5"/>
    <w:rsid w:val="0E7C112B"/>
    <w:rsid w:val="0E973BBB"/>
    <w:rsid w:val="0F264E85"/>
    <w:rsid w:val="0F5A368E"/>
    <w:rsid w:val="10611EED"/>
    <w:rsid w:val="115D4462"/>
    <w:rsid w:val="11AA1B96"/>
    <w:rsid w:val="11E95673"/>
    <w:rsid w:val="12086AC4"/>
    <w:rsid w:val="123E24E6"/>
    <w:rsid w:val="128D521B"/>
    <w:rsid w:val="131C4EDF"/>
    <w:rsid w:val="13761FC9"/>
    <w:rsid w:val="13A63529"/>
    <w:rsid w:val="13C95DDF"/>
    <w:rsid w:val="144D6A10"/>
    <w:rsid w:val="155344FA"/>
    <w:rsid w:val="15792D55"/>
    <w:rsid w:val="15BB51B1"/>
    <w:rsid w:val="15E27F5A"/>
    <w:rsid w:val="164D719B"/>
    <w:rsid w:val="169C77DB"/>
    <w:rsid w:val="17081314"/>
    <w:rsid w:val="17E4768B"/>
    <w:rsid w:val="182C1032"/>
    <w:rsid w:val="18477C1A"/>
    <w:rsid w:val="18910853"/>
    <w:rsid w:val="18A46E1B"/>
    <w:rsid w:val="19355CC5"/>
    <w:rsid w:val="19A05834"/>
    <w:rsid w:val="19F85670"/>
    <w:rsid w:val="1A197394"/>
    <w:rsid w:val="1ABA46D4"/>
    <w:rsid w:val="1AE654C9"/>
    <w:rsid w:val="1B1D5E2D"/>
    <w:rsid w:val="1B3E70B3"/>
    <w:rsid w:val="1C5C51E0"/>
    <w:rsid w:val="1C5F19D6"/>
    <w:rsid w:val="1CBB2985"/>
    <w:rsid w:val="1CC746FE"/>
    <w:rsid w:val="1CE170EC"/>
    <w:rsid w:val="1D3434D6"/>
    <w:rsid w:val="1D626E38"/>
    <w:rsid w:val="1DD957B9"/>
    <w:rsid w:val="1E2307E2"/>
    <w:rsid w:val="1E353928"/>
    <w:rsid w:val="1E592455"/>
    <w:rsid w:val="1E684D8C"/>
    <w:rsid w:val="1EA77665"/>
    <w:rsid w:val="1F0625DD"/>
    <w:rsid w:val="1F7F63E0"/>
    <w:rsid w:val="1FDF75A5"/>
    <w:rsid w:val="206F41B2"/>
    <w:rsid w:val="21D34852"/>
    <w:rsid w:val="21EA09A9"/>
    <w:rsid w:val="22405E06"/>
    <w:rsid w:val="22A70880"/>
    <w:rsid w:val="231A6657"/>
    <w:rsid w:val="232E5C5F"/>
    <w:rsid w:val="237044C9"/>
    <w:rsid w:val="23C16AD3"/>
    <w:rsid w:val="23D97F3C"/>
    <w:rsid w:val="25EE447D"/>
    <w:rsid w:val="26C37006"/>
    <w:rsid w:val="27221F7E"/>
    <w:rsid w:val="277F4CDB"/>
    <w:rsid w:val="28956780"/>
    <w:rsid w:val="28D11118"/>
    <w:rsid w:val="29106B1F"/>
    <w:rsid w:val="29B82726"/>
    <w:rsid w:val="2A8D50F1"/>
    <w:rsid w:val="2AEF03C9"/>
    <w:rsid w:val="2B184D47"/>
    <w:rsid w:val="2BB04A7A"/>
    <w:rsid w:val="2C5D5FDB"/>
    <w:rsid w:val="2C815051"/>
    <w:rsid w:val="2E187C37"/>
    <w:rsid w:val="2E6D3BD0"/>
    <w:rsid w:val="2F3C7955"/>
    <w:rsid w:val="2F6A0E0C"/>
    <w:rsid w:val="3070641F"/>
    <w:rsid w:val="30A457B2"/>
    <w:rsid w:val="31186298"/>
    <w:rsid w:val="31271F3F"/>
    <w:rsid w:val="323B5CA2"/>
    <w:rsid w:val="325B4596"/>
    <w:rsid w:val="32CE4D68"/>
    <w:rsid w:val="32F347CF"/>
    <w:rsid w:val="336D27D3"/>
    <w:rsid w:val="33C543BD"/>
    <w:rsid w:val="33CD6DCE"/>
    <w:rsid w:val="33D740F0"/>
    <w:rsid w:val="34693236"/>
    <w:rsid w:val="352D1499"/>
    <w:rsid w:val="35402D61"/>
    <w:rsid w:val="354B444E"/>
    <w:rsid w:val="35641287"/>
    <w:rsid w:val="3599165E"/>
    <w:rsid w:val="35A328F5"/>
    <w:rsid w:val="35DE52C2"/>
    <w:rsid w:val="360B0081"/>
    <w:rsid w:val="36146F36"/>
    <w:rsid w:val="37481375"/>
    <w:rsid w:val="3751533D"/>
    <w:rsid w:val="37A4078E"/>
    <w:rsid w:val="37B50DAA"/>
    <w:rsid w:val="38563836"/>
    <w:rsid w:val="389F029D"/>
    <w:rsid w:val="38AD7C1A"/>
    <w:rsid w:val="38F1355F"/>
    <w:rsid w:val="3904025B"/>
    <w:rsid w:val="390F7E89"/>
    <w:rsid w:val="39355B41"/>
    <w:rsid w:val="39761CB6"/>
    <w:rsid w:val="398B39B3"/>
    <w:rsid w:val="3A6D4E67"/>
    <w:rsid w:val="3AA06FEA"/>
    <w:rsid w:val="3ACF167E"/>
    <w:rsid w:val="3BBA40DC"/>
    <w:rsid w:val="3CD576CF"/>
    <w:rsid w:val="3D1C2D95"/>
    <w:rsid w:val="3D3914DC"/>
    <w:rsid w:val="3D3E0D3C"/>
    <w:rsid w:val="3D632551"/>
    <w:rsid w:val="3D8C1AA8"/>
    <w:rsid w:val="3DED0E3E"/>
    <w:rsid w:val="3E642A25"/>
    <w:rsid w:val="3E80785E"/>
    <w:rsid w:val="3ECA2888"/>
    <w:rsid w:val="3F4031DE"/>
    <w:rsid w:val="3F564FB3"/>
    <w:rsid w:val="3F571B2E"/>
    <w:rsid w:val="3FD70C44"/>
    <w:rsid w:val="40130ECF"/>
    <w:rsid w:val="40662A84"/>
    <w:rsid w:val="40925627"/>
    <w:rsid w:val="40970E8F"/>
    <w:rsid w:val="40FE4A6B"/>
    <w:rsid w:val="411C3143"/>
    <w:rsid w:val="41362456"/>
    <w:rsid w:val="415914C1"/>
    <w:rsid w:val="41EA19F2"/>
    <w:rsid w:val="4214206C"/>
    <w:rsid w:val="421C3E6F"/>
    <w:rsid w:val="423F358D"/>
    <w:rsid w:val="4355293C"/>
    <w:rsid w:val="436C7DE2"/>
    <w:rsid w:val="43AE09CA"/>
    <w:rsid w:val="43D14F18"/>
    <w:rsid w:val="440A0592"/>
    <w:rsid w:val="443D7EA8"/>
    <w:rsid w:val="44FF74CE"/>
    <w:rsid w:val="453A3CA4"/>
    <w:rsid w:val="454A5FE7"/>
    <w:rsid w:val="455410FD"/>
    <w:rsid w:val="45AA09FD"/>
    <w:rsid w:val="46CC1167"/>
    <w:rsid w:val="46D70238"/>
    <w:rsid w:val="47777325"/>
    <w:rsid w:val="47946129"/>
    <w:rsid w:val="479559FD"/>
    <w:rsid w:val="47E04ECA"/>
    <w:rsid w:val="485F5807"/>
    <w:rsid w:val="4A031344"/>
    <w:rsid w:val="4A032866"/>
    <w:rsid w:val="4B9506C1"/>
    <w:rsid w:val="4BDC009E"/>
    <w:rsid w:val="4BF13B1F"/>
    <w:rsid w:val="4C6205A3"/>
    <w:rsid w:val="4CA03EBA"/>
    <w:rsid w:val="4CBE6D86"/>
    <w:rsid w:val="4DA42E3E"/>
    <w:rsid w:val="4DC31516"/>
    <w:rsid w:val="4ED07976"/>
    <w:rsid w:val="4F604B42"/>
    <w:rsid w:val="4F6C2616"/>
    <w:rsid w:val="4FE94B38"/>
    <w:rsid w:val="50137E07"/>
    <w:rsid w:val="501B116C"/>
    <w:rsid w:val="514D319C"/>
    <w:rsid w:val="51CE7DAC"/>
    <w:rsid w:val="51F31C9E"/>
    <w:rsid w:val="53894668"/>
    <w:rsid w:val="538F3C48"/>
    <w:rsid w:val="53B03160"/>
    <w:rsid w:val="53C632CD"/>
    <w:rsid w:val="53FA0146"/>
    <w:rsid w:val="542E520F"/>
    <w:rsid w:val="544C066C"/>
    <w:rsid w:val="55366A71"/>
    <w:rsid w:val="553B4087"/>
    <w:rsid w:val="5540344C"/>
    <w:rsid w:val="55A97243"/>
    <w:rsid w:val="5798756F"/>
    <w:rsid w:val="57BB500C"/>
    <w:rsid w:val="58290668"/>
    <w:rsid w:val="583C439E"/>
    <w:rsid w:val="58AC2BA6"/>
    <w:rsid w:val="59851D75"/>
    <w:rsid w:val="59BB12F3"/>
    <w:rsid w:val="59CD1026"/>
    <w:rsid w:val="5B5E23D8"/>
    <w:rsid w:val="5B7B51DE"/>
    <w:rsid w:val="5B9D74B8"/>
    <w:rsid w:val="5BBD4A8F"/>
    <w:rsid w:val="5D657369"/>
    <w:rsid w:val="5E0771FD"/>
    <w:rsid w:val="5E2454B0"/>
    <w:rsid w:val="5E326B8F"/>
    <w:rsid w:val="5EA90260"/>
    <w:rsid w:val="5EAB402C"/>
    <w:rsid w:val="5F1E0812"/>
    <w:rsid w:val="5F731940"/>
    <w:rsid w:val="5FAD789D"/>
    <w:rsid w:val="5FD717CF"/>
    <w:rsid w:val="60D96503"/>
    <w:rsid w:val="61185F82"/>
    <w:rsid w:val="616D55C9"/>
    <w:rsid w:val="61B70830"/>
    <w:rsid w:val="61C40F61"/>
    <w:rsid w:val="61C471B3"/>
    <w:rsid w:val="61F2728B"/>
    <w:rsid w:val="624C12E0"/>
    <w:rsid w:val="629D20A7"/>
    <w:rsid w:val="62C94CB5"/>
    <w:rsid w:val="636429FB"/>
    <w:rsid w:val="6383632D"/>
    <w:rsid w:val="63EE0156"/>
    <w:rsid w:val="64104931"/>
    <w:rsid w:val="6449399F"/>
    <w:rsid w:val="64DD2AEA"/>
    <w:rsid w:val="65193FE4"/>
    <w:rsid w:val="65293EFC"/>
    <w:rsid w:val="655C4344"/>
    <w:rsid w:val="658E5EE7"/>
    <w:rsid w:val="65F67C27"/>
    <w:rsid w:val="65F84BEE"/>
    <w:rsid w:val="66083B12"/>
    <w:rsid w:val="66996E60"/>
    <w:rsid w:val="674E19F8"/>
    <w:rsid w:val="683A7434"/>
    <w:rsid w:val="68B03FED"/>
    <w:rsid w:val="68DE6509"/>
    <w:rsid w:val="6931512E"/>
    <w:rsid w:val="69845BA5"/>
    <w:rsid w:val="69935ABC"/>
    <w:rsid w:val="6A274783"/>
    <w:rsid w:val="6A44602E"/>
    <w:rsid w:val="6A8676FB"/>
    <w:rsid w:val="6B0D04AA"/>
    <w:rsid w:val="6B105217"/>
    <w:rsid w:val="6B9E2823"/>
    <w:rsid w:val="6BDED4EA"/>
    <w:rsid w:val="6BE75E0F"/>
    <w:rsid w:val="6D413DAD"/>
    <w:rsid w:val="6D4F2026"/>
    <w:rsid w:val="6D733A57"/>
    <w:rsid w:val="6D844AAC"/>
    <w:rsid w:val="6E1374F8"/>
    <w:rsid w:val="6F3752BC"/>
    <w:rsid w:val="6FEA4288"/>
    <w:rsid w:val="701B08E6"/>
    <w:rsid w:val="71357E8B"/>
    <w:rsid w:val="72B27B5F"/>
    <w:rsid w:val="7306325C"/>
    <w:rsid w:val="73133AF6"/>
    <w:rsid w:val="73506AF8"/>
    <w:rsid w:val="735F0AE9"/>
    <w:rsid w:val="74092E99"/>
    <w:rsid w:val="748E3CA1"/>
    <w:rsid w:val="74C5533E"/>
    <w:rsid w:val="74E53270"/>
    <w:rsid w:val="75062C60"/>
    <w:rsid w:val="7507768A"/>
    <w:rsid w:val="75F75C0E"/>
    <w:rsid w:val="768D0E64"/>
    <w:rsid w:val="76B15B00"/>
    <w:rsid w:val="76C84BF7"/>
    <w:rsid w:val="76CE66B2"/>
    <w:rsid w:val="76F61765"/>
    <w:rsid w:val="77091498"/>
    <w:rsid w:val="77476464"/>
    <w:rsid w:val="774C75D7"/>
    <w:rsid w:val="77626DFA"/>
    <w:rsid w:val="780A371A"/>
    <w:rsid w:val="784604CA"/>
    <w:rsid w:val="79CB512B"/>
    <w:rsid w:val="79FD2E0A"/>
    <w:rsid w:val="7A7D2F0E"/>
    <w:rsid w:val="7A9674E6"/>
    <w:rsid w:val="7AB34655"/>
    <w:rsid w:val="7ABB2C05"/>
    <w:rsid w:val="7B242D44"/>
    <w:rsid w:val="7B335448"/>
    <w:rsid w:val="7B9D4A20"/>
    <w:rsid w:val="7BB62626"/>
    <w:rsid w:val="7C2B3C5E"/>
    <w:rsid w:val="7C596A1E"/>
    <w:rsid w:val="7C6147CD"/>
    <w:rsid w:val="7CF84488"/>
    <w:rsid w:val="7CF95B0B"/>
    <w:rsid w:val="7D3134F6"/>
    <w:rsid w:val="7D707CF3"/>
    <w:rsid w:val="7D807FDA"/>
    <w:rsid w:val="7DBB1012"/>
    <w:rsid w:val="7E42400A"/>
    <w:rsid w:val="7E437985"/>
    <w:rsid w:val="7F0809D3"/>
    <w:rsid w:val="7FA04963"/>
    <w:rsid w:val="81DFE696"/>
    <w:rsid w:val="B3F32D37"/>
    <w:rsid w:val="DFEEC413"/>
    <w:rsid w:val="FFA98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customStyle="1" w:styleId="7">
    <w:name w:val="Picture caption|1"/>
    <w:basedOn w:val="1"/>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8">
    <w:name w:val="Other|1"/>
    <w:basedOn w:val="1"/>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9">
    <w:name w:val="font11"/>
    <w:basedOn w:val="6"/>
    <w:qFormat/>
    <w:uiPriority w:val="0"/>
    <w:rPr>
      <w:rFonts w:hint="eastAsia" w:ascii="宋体" w:hAnsi="宋体" w:eastAsia="宋体" w:cs="宋体"/>
      <w:color w:val="000000"/>
      <w:sz w:val="22"/>
      <w:szCs w:val="22"/>
      <w:u w:val="none"/>
    </w:rPr>
  </w:style>
  <w:style w:type="character" w:customStyle="1" w:styleId="10">
    <w:name w:val="font41"/>
    <w:basedOn w:val="6"/>
    <w:qFormat/>
    <w:uiPriority w:val="0"/>
    <w:rPr>
      <w:rFonts w:hint="eastAsia" w:ascii="黑体" w:hAnsi="宋体" w:eastAsia="黑体" w:cs="黑体"/>
      <w:color w:val="000000"/>
      <w:sz w:val="22"/>
      <w:szCs w:val="22"/>
      <w:u w:val="none"/>
    </w:rPr>
  </w:style>
  <w:style w:type="character" w:customStyle="1" w:styleId="11">
    <w:name w:val="font61"/>
    <w:basedOn w:val="6"/>
    <w:qFormat/>
    <w:uiPriority w:val="0"/>
    <w:rPr>
      <w:rFonts w:hint="eastAsia" w:ascii="黑体" w:hAnsi="宋体" w:eastAsia="黑体" w:cs="黑体"/>
      <w:color w:val="000000"/>
      <w:sz w:val="26"/>
      <w:szCs w:val="26"/>
      <w:u w:val="none"/>
    </w:rPr>
  </w:style>
  <w:style w:type="paragraph" w:customStyle="1" w:styleId="12">
    <w:name w:val="Body text|2"/>
    <w:basedOn w:val="1"/>
    <w:qFormat/>
    <w:uiPriority w:val="0"/>
    <w:pPr>
      <w:widowControl w:val="0"/>
      <w:shd w:val="clear" w:color="auto" w:fill="auto"/>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11642</Words>
  <Characters>12590</Characters>
  <Lines>0</Lines>
  <Paragraphs>0</Paragraphs>
  <TotalTime>0</TotalTime>
  <ScaleCrop>false</ScaleCrop>
  <LinksUpToDate>false</LinksUpToDate>
  <CharactersWithSpaces>12791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2021-12-30T19:52:00Z</dcterms:created>
  <dc:creator>zzz</dc:creator>
  <cp:lastModifiedBy>zzz</cp:lastModifiedBy>
  <dcterms:modified xsi:type="dcterms:W3CDTF">2023-02-28T08:08:30Z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48F3F9BE03A14E9D9DE5CFBF7A0C77B3</vt:lpwstr>
  </property>
</Properties>
</file>