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left"/>
        <w:rPr>
          <w:rFonts w:ascii="黑体" w:hAnsi="黑体" w:eastAsia="黑体" w:cs="仿宋"/>
          <w:sz w:val="32"/>
          <w:szCs w:val="32"/>
        </w:rPr>
      </w:pPr>
      <w:bookmarkStart w:id="16" w:name="_GoBack"/>
      <w:bookmarkEnd w:id="16"/>
      <w:r>
        <w:rPr>
          <w:rFonts w:ascii="黑体" w:hAnsi="黑体" w:eastAsia="黑体" w:cs="仿宋"/>
          <w:sz w:val="32"/>
          <w:szCs w:val="32"/>
        </w:rPr>
        <w:t>附件3</w:t>
      </w:r>
    </w:p>
    <w:p>
      <w:pPr>
        <w:spacing w:line="240" w:lineRule="auto"/>
        <w:jc w:val="left"/>
        <w:rPr>
          <w:rFonts w:ascii="仿宋" w:hAnsi="仿宋" w:eastAsia="仿宋" w:cs="仿宋"/>
          <w:b/>
          <w:bCs/>
          <w:sz w:val="32"/>
          <w:szCs w:val="32"/>
        </w:rPr>
      </w:pPr>
    </w:p>
    <w:p>
      <w:pPr>
        <w:spacing w:line="240" w:lineRule="auto"/>
        <w:jc w:val="center"/>
        <w:rPr>
          <w:rFonts w:ascii="仿宋" w:hAnsi="仿宋" w:eastAsia="仿宋" w:cs="仿宋"/>
          <w:b/>
          <w:bCs/>
          <w:sz w:val="40"/>
          <w:szCs w:val="52"/>
        </w:rPr>
      </w:pPr>
      <w:r>
        <w:rPr>
          <w:rFonts w:hint="eastAsia" w:ascii="仿宋" w:hAnsi="仿宋" w:eastAsia="仿宋" w:cs="仿宋"/>
          <w:b/>
          <w:bCs/>
          <w:sz w:val="40"/>
          <w:szCs w:val="52"/>
        </w:rPr>
        <w:t>2021数字中国创新大赛-青少年AI机器人赛道</w:t>
      </w:r>
    </w:p>
    <w:p>
      <w:pPr>
        <w:spacing w:line="240" w:lineRule="auto"/>
        <w:jc w:val="center"/>
        <w:rPr>
          <w:rFonts w:ascii="仿宋" w:hAnsi="仿宋" w:eastAsia="仿宋" w:cs="仿宋"/>
          <w:sz w:val="28"/>
          <w:szCs w:val="28"/>
        </w:rPr>
      </w:pPr>
      <w:r>
        <w:rPr>
          <w:rFonts w:hint="eastAsia" w:ascii="仿宋" w:hAnsi="仿宋" w:eastAsia="仿宋" w:cs="仿宋"/>
          <w:b/>
          <w:bCs/>
          <w:sz w:val="40"/>
          <w:szCs w:val="52"/>
        </w:rPr>
        <w:t>人工智能机器人赛题规则</w:t>
      </w:r>
    </w:p>
    <w:p>
      <w:pPr>
        <w:pStyle w:val="5"/>
        <w:widowControl/>
        <w:rPr>
          <w:rFonts w:ascii="仿宋" w:hAnsi="仿宋" w:eastAsia="仿宋" w:cs="仿宋"/>
        </w:rPr>
      </w:pPr>
      <w:r>
        <w:rPr>
          <w:rFonts w:hint="eastAsia" w:ascii="仿宋" w:hAnsi="仿宋" w:eastAsia="仿宋" w:cs="仿宋"/>
        </w:rPr>
        <w:t>一、赛项基本信息</w:t>
      </w:r>
    </w:p>
    <w:p>
      <w:pPr>
        <w:pStyle w:val="15"/>
        <w:snapToGrid w:val="0"/>
        <w:spacing w:before="150" w:beforeAutospacing="0" w:afterAutospacing="0"/>
        <w:ind w:firstLine="442" w:firstLineChars="200"/>
        <w:contextualSpacing/>
        <w:rPr>
          <w:rFonts w:ascii="仿宋" w:hAnsi="仿宋" w:eastAsia="仿宋" w:cs="仿宋"/>
          <w:sz w:val="22"/>
          <w:szCs w:val="22"/>
        </w:rPr>
      </w:pPr>
      <w:r>
        <w:rPr>
          <w:rFonts w:hint="eastAsia" w:ascii="仿宋" w:hAnsi="仿宋" w:eastAsia="仿宋" w:cs="仿宋"/>
          <w:b/>
          <w:sz w:val="22"/>
          <w:szCs w:val="22"/>
        </w:rPr>
        <w:t>赛项类型：</w:t>
      </w:r>
      <w:r>
        <w:rPr>
          <w:rFonts w:hint="eastAsia" w:ascii="仿宋" w:hAnsi="仿宋" w:eastAsia="仿宋" w:cs="仿宋"/>
          <w:sz w:val="22"/>
          <w:szCs w:val="22"/>
        </w:rPr>
        <w:t>团队任务赛</w:t>
      </w:r>
    </w:p>
    <w:p>
      <w:pPr>
        <w:pStyle w:val="15"/>
        <w:snapToGrid w:val="0"/>
        <w:spacing w:before="150" w:beforeAutospacing="0" w:afterAutospacing="0"/>
        <w:ind w:firstLine="442" w:firstLineChars="200"/>
        <w:contextualSpacing/>
        <w:rPr>
          <w:rFonts w:ascii="仿宋" w:hAnsi="仿宋" w:eastAsia="仿宋" w:cs="仿宋"/>
          <w:sz w:val="22"/>
          <w:szCs w:val="22"/>
        </w:rPr>
      </w:pPr>
      <w:r>
        <w:rPr>
          <w:rFonts w:hint="eastAsia" w:ascii="仿宋" w:hAnsi="仿宋" w:eastAsia="仿宋" w:cs="仿宋"/>
          <w:b/>
          <w:sz w:val="22"/>
          <w:szCs w:val="22"/>
        </w:rPr>
        <w:t>比赛主题</w:t>
      </w:r>
      <w:r>
        <w:rPr>
          <w:rFonts w:hint="eastAsia" w:ascii="仿宋" w:hAnsi="仿宋" w:eastAsia="仿宋" w:cs="仿宋"/>
          <w:sz w:val="22"/>
          <w:szCs w:val="22"/>
        </w:rPr>
        <w:t>：智慧交通</w:t>
      </w:r>
    </w:p>
    <w:p>
      <w:pPr>
        <w:pStyle w:val="15"/>
        <w:snapToGrid w:val="0"/>
        <w:spacing w:before="150" w:beforeAutospacing="0" w:afterAutospacing="0"/>
        <w:ind w:firstLine="442" w:firstLineChars="200"/>
        <w:contextualSpacing/>
        <w:rPr>
          <w:rFonts w:ascii="仿宋" w:hAnsi="仿宋" w:eastAsia="仿宋" w:cs="仿宋"/>
          <w:sz w:val="22"/>
          <w:szCs w:val="22"/>
        </w:rPr>
      </w:pPr>
      <w:r>
        <w:rPr>
          <w:rFonts w:hint="eastAsia" w:ascii="仿宋" w:hAnsi="仿宋" w:eastAsia="仿宋" w:cs="仿宋"/>
          <w:b/>
          <w:sz w:val="22"/>
          <w:szCs w:val="22"/>
        </w:rPr>
        <w:t>组别：</w:t>
      </w:r>
      <w:r>
        <w:rPr>
          <w:rFonts w:hint="eastAsia" w:ascii="仿宋" w:hAnsi="仿宋" w:eastAsia="仿宋" w:cs="仿宋"/>
          <w:sz w:val="22"/>
          <w:szCs w:val="22"/>
        </w:rPr>
        <w:t>小学组；</w:t>
      </w:r>
    </w:p>
    <w:p>
      <w:pPr>
        <w:pStyle w:val="15"/>
        <w:snapToGrid w:val="0"/>
        <w:spacing w:before="150" w:beforeAutospacing="0" w:afterAutospacing="0"/>
        <w:ind w:firstLine="442" w:firstLineChars="200"/>
        <w:contextualSpacing/>
        <w:rPr>
          <w:rFonts w:ascii="仿宋" w:hAnsi="仿宋" w:eastAsia="仿宋" w:cs="仿宋"/>
          <w:sz w:val="22"/>
          <w:szCs w:val="22"/>
        </w:rPr>
      </w:pPr>
      <w:r>
        <w:rPr>
          <w:rFonts w:hint="eastAsia" w:ascii="仿宋" w:hAnsi="仿宋" w:eastAsia="仿宋" w:cs="仿宋"/>
          <w:b/>
          <w:sz w:val="22"/>
          <w:szCs w:val="22"/>
        </w:rPr>
        <w:t>参赛人数：</w:t>
      </w:r>
      <w:r>
        <w:rPr>
          <w:rFonts w:hint="eastAsia" w:ascii="仿宋" w:hAnsi="仿宋" w:eastAsia="仿宋" w:cs="仿宋"/>
          <w:sz w:val="22"/>
          <w:szCs w:val="22"/>
        </w:rPr>
        <w:t>学生1-2人组成1队；</w:t>
      </w:r>
    </w:p>
    <w:p>
      <w:pPr>
        <w:pStyle w:val="15"/>
        <w:snapToGrid w:val="0"/>
        <w:spacing w:before="150" w:beforeAutospacing="0" w:afterAutospacing="0"/>
        <w:ind w:firstLine="442" w:firstLineChars="200"/>
        <w:contextualSpacing/>
        <w:rPr>
          <w:rFonts w:ascii="仿宋" w:hAnsi="仿宋" w:eastAsia="仿宋" w:cs="仿宋"/>
          <w:sz w:val="22"/>
          <w:szCs w:val="22"/>
        </w:rPr>
      </w:pPr>
      <w:r>
        <w:rPr>
          <w:rFonts w:hint="eastAsia" w:ascii="仿宋" w:hAnsi="仿宋" w:eastAsia="仿宋" w:cs="仿宋"/>
          <w:b/>
          <w:sz w:val="22"/>
          <w:szCs w:val="22"/>
        </w:rPr>
        <w:t>指导老师人数：</w:t>
      </w:r>
      <w:r>
        <w:rPr>
          <w:rFonts w:hint="eastAsia" w:ascii="仿宋" w:hAnsi="仿宋" w:eastAsia="仿宋" w:cs="仿宋"/>
          <w:sz w:val="22"/>
          <w:szCs w:val="22"/>
        </w:rPr>
        <w:t>每队1-2名成年指导教师；</w:t>
      </w:r>
    </w:p>
    <w:p>
      <w:pPr>
        <w:pStyle w:val="15"/>
        <w:snapToGrid w:val="0"/>
        <w:spacing w:before="150" w:beforeAutospacing="0" w:afterAutospacing="0"/>
        <w:ind w:firstLine="442" w:firstLineChars="200"/>
        <w:contextualSpacing/>
        <w:rPr>
          <w:rFonts w:ascii="仿宋" w:hAnsi="仿宋" w:eastAsia="仿宋" w:cs="仿宋"/>
          <w:sz w:val="22"/>
          <w:szCs w:val="22"/>
        </w:rPr>
      </w:pPr>
      <w:r>
        <w:rPr>
          <w:rFonts w:hint="eastAsia" w:ascii="仿宋" w:hAnsi="仿宋" w:eastAsia="仿宋" w:cs="仿宋"/>
          <w:b/>
          <w:sz w:val="22"/>
          <w:szCs w:val="22"/>
        </w:rPr>
        <w:t>参赛形式：</w:t>
      </w:r>
      <w:r>
        <w:rPr>
          <w:rFonts w:hint="eastAsia" w:ascii="仿宋" w:hAnsi="仿宋" w:eastAsia="仿宋" w:cs="仿宋"/>
          <w:sz w:val="22"/>
          <w:szCs w:val="22"/>
        </w:rPr>
        <w:t>学生自行搭建机器人，决赛现场携带机器人到赛场，按照规则要求完成相应任务获得分数。</w:t>
      </w:r>
    </w:p>
    <w:p>
      <w:pPr>
        <w:pStyle w:val="15"/>
        <w:snapToGrid w:val="0"/>
        <w:spacing w:before="150" w:beforeAutospacing="0" w:afterAutospacing="0"/>
        <w:contextualSpacing/>
        <w:rPr>
          <w:rFonts w:ascii="仿宋" w:hAnsi="仿宋" w:eastAsia="仿宋" w:cs="仿宋"/>
          <w:sz w:val="22"/>
          <w:szCs w:val="22"/>
        </w:rPr>
      </w:pPr>
    </w:p>
    <w:p>
      <w:pPr>
        <w:pStyle w:val="5"/>
        <w:widowControl/>
        <w:rPr>
          <w:rFonts w:ascii="仿宋" w:hAnsi="仿宋" w:eastAsia="仿宋" w:cs="仿宋"/>
        </w:rPr>
      </w:pPr>
      <w:r>
        <w:rPr>
          <w:rFonts w:hint="eastAsia" w:ascii="仿宋" w:hAnsi="仿宋" w:eastAsia="仿宋" w:cs="仿宋"/>
        </w:rPr>
        <w:t>二、赛项基本要求</w:t>
      </w:r>
    </w:p>
    <w:p>
      <w:pPr>
        <w:pStyle w:val="15"/>
        <w:snapToGrid w:val="0"/>
        <w:spacing w:before="150" w:beforeAutospacing="0" w:afterAutospacing="0"/>
        <w:ind w:firstLine="442" w:firstLineChars="200"/>
        <w:contextualSpacing/>
        <w:rPr>
          <w:rFonts w:ascii="仿宋" w:hAnsi="仿宋" w:eastAsia="仿宋" w:cs="仿宋"/>
          <w:sz w:val="22"/>
        </w:rPr>
      </w:pPr>
      <w:r>
        <w:rPr>
          <w:rFonts w:hint="eastAsia" w:ascii="仿宋" w:hAnsi="仿宋" w:eastAsia="仿宋" w:cs="仿宋"/>
          <w:b/>
          <w:sz w:val="22"/>
        </w:rPr>
        <w:t>参赛对象</w:t>
      </w:r>
      <w:r>
        <w:rPr>
          <w:rFonts w:hint="eastAsia" w:ascii="仿宋" w:hAnsi="仿宋" w:eastAsia="仿宋" w:cs="仿宋"/>
          <w:sz w:val="22"/>
        </w:rPr>
        <w:t>：参赛对象为福建省义务教育小学阶段在校学生。每支战队由1-2名参赛队员和1-2名指导教师组成，每支战队需要携带1个参赛机器人。</w:t>
      </w:r>
    </w:p>
    <w:p>
      <w:pPr>
        <w:pStyle w:val="15"/>
        <w:snapToGrid w:val="0"/>
        <w:spacing w:before="150" w:beforeAutospacing="0" w:afterAutospacing="0"/>
        <w:ind w:firstLine="442" w:firstLineChars="200"/>
        <w:contextualSpacing/>
        <w:rPr>
          <w:rFonts w:ascii="仿宋" w:hAnsi="仿宋" w:eastAsia="仿宋" w:cs="仿宋"/>
          <w:sz w:val="22"/>
        </w:rPr>
      </w:pPr>
      <w:r>
        <w:rPr>
          <w:rFonts w:hint="eastAsia" w:ascii="仿宋" w:hAnsi="仿宋" w:eastAsia="仿宋" w:cs="仿宋"/>
          <w:b/>
          <w:sz w:val="22"/>
        </w:rPr>
        <w:t>比赛器材</w:t>
      </w:r>
      <w:r>
        <w:rPr>
          <w:rFonts w:hint="eastAsia" w:ascii="仿宋" w:hAnsi="仿宋" w:eastAsia="仿宋" w:cs="仿宋"/>
          <w:sz w:val="22"/>
        </w:rPr>
        <w:t>：本赛项比赛器材为智慧交通器材套装。比赛地图为智慧交通地图套装。</w:t>
      </w:r>
    </w:p>
    <w:p>
      <w:pPr>
        <w:pStyle w:val="5"/>
        <w:widowControl/>
        <w:numPr>
          <w:ilvl w:val="0"/>
          <w:numId w:val="11"/>
        </w:numPr>
        <w:rPr>
          <w:rFonts w:ascii="仿宋" w:hAnsi="仿宋" w:eastAsia="仿宋" w:cs="仿宋"/>
        </w:rPr>
      </w:pPr>
      <w:r>
        <w:rPr>
          <w:rFonts w:hint="eastAsia" w:ascii="仿宋" w:hAnsi="仿宋" w:eastAsia="仿宋" w:cs="仿宋"/>
        </w:rPr>
        <w:t>比赛主题</w:t>
      </w:r>
    </w:p>
    <w:p>
      <w:pPr>
        <w:pStyle w:val="30"/>
        <w:spacing w:line="420" w:lineRule="exact"/>
        <w:rPr>
          <w:rFonts w:ascii="仿宋" w:hAnsi="仿宋" w:eastAsia="仿宋" w:cs="仿宋"/>
        </w:rPr>
      </w:pPr>
      <w:r>
        <w:rPr>
          <w:rFonts w:hint="eastAsia" w:ascii="仿宋" w:hAnsi="仿宋" w:eastAsia="仿宋" w:cs="仿宋"/>
          <w:b/>
          <w:sz w:val="22"/>
          <w:szCs w:val="22"/>
        </w:rPr>
        <w:t>比赛主题</w:t>
      </w:r>
      <w:r>
        <w:rPr>
          <w:rFonts w:hint="eastAsia" w:ascii="仿宋" w:hAnsi="仿宋" w:eastAsia="仿宋" w:cs="仿宋"/>
          <w:sz w:val="22"/>
          <w:szCs w:val="22"/>
        </w:rPr>
        <w:t>：</w:t>
      </w:r>
      <w:r>
        <w:rPr>
          <w:rFonts w:hint="eastAsia" w:ascii="仿宋" w:hAnsi="仿宋" w:eastAsia="仿宋" w:cs="仿宋"/>
        </w:rPr>
        <w:t>比赛主题为《智慧交通》，该赛项主要考验参赛队员的逻辑思考、策略协作和问题解决能力。</w:t>
      </w:r>
    </w:p>
    <w:p>
      <w:pPr>
        <w:pStyle w:val="30"/>
        <w:spacing w:line="420" w:lineRule="exact"/>
        <w:rPr>
          <w:rStyle w:val="84"/>
          <w:rFonts w:ascii="仿宋" w:hAnsi="仿宋" w:eastAsia="仿宋" w:cs="仿宋"/>
        </w:rPr>
      </w:pPr>
      <w:r>
        <w:rPr>
          <w:rFonts w:hint="eastAsia" w:ascii="仿宋" w:hAnsi="仿宋" w:eastAsia="仿宋" w:cs="仿宋"/>
        </w:rPr>
        <w:t>在日常生活中，总会遇到这样的烦心时刻——下班的晚高峰交通拥堵、停车困难导致了交通不便。在 AI 时代，我们期待的智慧交通将充分运用物联网、云计算、图像识别、自动控制、移动互联网等技术，打造了一个信号与能量互通，万物互联的移</w:t>
      </w:r>
      <w:r>
        <w:rPr>
          <w:rFonts w:hint="eastAsia" w:ascii="仿宋" w:hAnsi="仿宋" w:eastAsia="仿宋" w:cs="仿宋"/>
          <w:color w:val="auto"/>
        </w:rPr>
        <w:t>动交通场景。2021年让我们一起进入AI时代，便利人们的</w:t>
      </w:r>
      <w:r>
        <w:rPr>
          <w:rFonts w:hint="eastAsia" w:ascii="仿宋" w:hAnsi="仿宋" w:eastAsia="仿宋" w:cs="仿宋"/>
        </w:rPr>
        <w:t>生活！</w:t>
      </w:r>
    </w:p>
    <w:p>
      <w:pPr>
        <w:pStyle w:val="15"/>
        <w:snapToGrid w:val="0"/>
        <w:spacing w:before="150" w:beforeAutospacing="0" w:afterAutospacing="0"/>
        <w:ind w:firstLine="440" w:firstLineChars="200"/>
        <w:contextualSpacing/>
        <w:rPr>
          <w:rFonts w:ascii="仿宋" w:hAnsi="仿宋" w:eastAsia="仿宋" w:cs="仿宋"/>
          <w:sz w:val="22"/>
          <w:szCs w:val="22"/>
        </w:rPr>
      </w:pPr>
    </w:p>
    <w:p>
      <w:pPr>
        <w:pStyle w:val="5"/>
        <w:widowControl/>
        <w:rPr>
          <w:rFonts w:ascii="仿宋" w:hAnsi="仿宋" w:eastAsia="仿宋" w:cs="仿宋"/>
        </w:rPr>
      </w:pPr>
      <w:bookmarkStart w:id="0" w:name="_Toc34640254"/>
      <w:bookmarkStart w:id="1" w:name="_Toc62046384"/>
      <w:bookmarkStart w:id="2" w:name="_Toc23040"/>
      <w:bookmarkStart w:id="3" w:name="_Toc10237"/>
      <w:r>
        <w:rPr>
          <w:rFonts w:hint="eastAsia" w:ascii="仿宋" w:hAnsi="仿宋" w:eastAsia="仿宋" w:cs="仿宋"/>
        </w:rPr>
        <w:t>四、比赛任务及得分</w:t>
      </w:r>
    </w:p>
    <w:p>
      <w:pPr>
        <w:pStyle w:val="34"/>
        <w:numPr>
          <w:ilvl w:val="1"/>
          <w:numId w:val="0"/>
        </w:numPr>
        <w:spacing w:line="420" w:lineRule="exac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4.1比赛场地说明</w:t>
      </w:r>
      <w:bookmarkEnd w:id="0"/>
      <w:bookmarkEnd w:id="1"/>
      <w:bookmarkEnd w:id="2"/>
      <w:bookmarkEnd w:id="3"/>
    </w:p>
    <w:p>
      <w:pPr>
        <w:pStyle w:val="30"/>
        <w:spacing w:line="420" w:lineRule="exact"/>
        <w:rPr>
          <w:rFonts w:ascii="仿宋" w:hAnsi="仿宋" w:eastAsia="仿宋" w:cs="仿宋"/>
        </w:rPr>
      </w:pPr>
      <w:r>
        <w:rPr>
          <w:rFonts w:hint="eastAsia" w:ascii="仿宋" w:hAnsi="仿宋" w:eastAsia="仿宋" w:cs="仿宋"/>
        </w:rPr>
        <w:drawing>
          <wp:anchor distT="0" distB="0" distL="114300" distR="114300" simplePos="0" relativeHeight="251770880" behindDoc="0" locked="0" layoutInCell="1" allowOverlap="1">
            <wp:simplePos x="0" y="0"/>
            <wp:positionH relativeFrom="column">
              <wp:posOffset>-285115</wp:posOffset>
            </wp:positionH>
            <wp:positionV relativeFrom="paragraph">
              <wp:posOffset>660400</wp:posOffset>
            </wp:positionV>
            <wp:extent cx="2854325" cy="2068195"/>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325" cy="2068195"/>
                    </a:xfrm>
                    <a:prstGeom prst="rect">
                      <a:avLst/>
                    </a:prstGeom>
                    <a:noFill/>
                    <a:ln>
                      <a:noFill/>
                    </a:ln>
                  </pic:spPr>
                </pic:pic>
              </a:graphicData>
            </a:graphic>
          </wp:anchor>
        </w:drawing>
      </w:r>
      <w:r>
        <w:rPr>
          <w:rFonts w:hint="eastAsia" w:ascii="仿宋" w:hAnsi="仿宋" w:eastAsia="仿宋" w:cs="仿宋"/>
        </w:rPr>
        <w:t>智慧交通的比赛场地由比赛地图、赛台、赛台边框三个部分构成，其大小为2440mm*2440mm。</w:t>
      </w:r>
    </w:p>
    <w:p>
      <w:pPr>
        <w:pStyle w:val="30"/>
        <w:spacing w:line="420" w:lineRule="exact"/>
        <w:ind w:firstLine="0"/>
        <w:jc w:val="center"/>
        <w:rPr>
          <w:rFonts w:ascii="仿宋" w:hAnsi="仿宋" w:eastAsia="仿宋" w:cs="仿宋"/>
          <w:b/>
          <w:color w:val="auto"/>
        </w:rPr>
      </w:pPr>
      <w:r>
        <w:rPr>
          <w:rFonts w:hint="eastAsia" w:ascii="仿宋" w:hAnsi="仿宋" w:eastAsia="仿宋" w:cs="仿宋"/>
          <w:b/>
          <w:color w:val="auto"/>
        </w:rPr>
        <w:t>图2.1 比赛场地示意图</w:t>
      </w:r>
    </w:p>
    <w:p>
      <w:pPr>
        <w:pStyle w:val="64"/>
        <w:spacing w:line="420" w:lineRule="exact"/>
        <w:rPr>
          <w:rFonts w:ascii="仿宋" w:hAnsi="仿宋" w:eastAsia="仿宋" w:cs="仿宋"/>
        </w:rPr>
      </w:pPr>
      <w:r>
        <w:rPr>
          <w:rFonts w:hint="eastAsia" w:ascii="仿宋" w:hAnsi="仿宋" w:eastAsia="仿宋" w:cs="仿宋"/>
        </w:rPr>
        <w:t>比赛地图尺寸</w:t>
      </w:r>
    </w:p>
    <w:p>
      <w:pPr>
        <w:pStyle w:val="30"/>
        <w:spacing w:line="420" w:lineRule="exact"/>
        <w:rPr>
          <w:rFonts w:ascii="仿宋" w:hAnsi="仿宋" w:eastAsia="仿宋" w:cs="仿宋"/>
        </w:rPr>
      </w:pPr>
      <w:r>
        <w:rPr>
          <w:rFonts w:hint="eastAsia" w:ascii="仿宋" w:hAnsi="仿宋" w:eastAsia="仿宋" w:cs="仿宋"/>
        </w:rPr>
        <w:t>比赛地图分为如下两部分。</w:t>
      </w:r>
    </w:p>
    <w:p>
      <w:pPr>
        <w:pStyle w:val="30"/>
        <w:spacing w:line="420" w:lineRule="exact"/>
        <w:rPr>
          <w:rFonts w:ascii="仿宋" w:hAnsi="仿宋" w:eastAsia="仿宋" w:cs="仿宋"/>
        </w:rPr>
      </w:pPr>
      <w:r>
        <w:rPr>
          <w:rFonts w:hint="eastAsia" w:ascii="仿宋" w:hAnsi="仿宋" w:eastAsia="仿宋" w:cs="仿宋"/>
        </w:rPr>
        <w:t>自动控制任务区：为机器人执行自动控制程序完成自动独立与自动联盟任务的区域，简称自动区，大小为2370mm*1150mm。</w:t>
      </w:r>
    </w:p>
    <w:p>
      <w:pPr>
        <w:pStyle w:val="30"/>
        <w:spacing w:line="420" w:lineRule="exact"/>
        <w:rPr>
          <w:rFonts w:ascii="仿宋" w:hAnsi="仿宋" w:eastAsia="仿宋" w:cs="仿宋"/>
        </w:rPr>
      </w:pPr>
      <w:r>
        <w:rPr>
          <w:rFonts w:hint="eastAsia" w:ascii="仿宋" w:hAnsi="仿宋" w:eastAsia="仿宋" w:cs="仿宋"/>
        </w:rPr>
        <w:t>手动控制任务区：为参赛队员须手动控制机器人完成手动联盟任务的区域，简称手动区，大小为2370mm*1150mm。</w:t>
      </w:r>
    </w:p>
    <w:p>
      <w:pPr>
        <w:pStyle w:val="64"/>
        <w:spacing w:line="420" w:lineRule="exact"/>
        <w:rPr>
          <w:rFonts w:ascii="仿宋" w:hAnsi="仿宋" w:eastAsia="仿宋" w:cs="仿宋"/>
        </w:rPr>
      </w:pPr>
      <w:r>
        <w:rPr>
          <w:rFonts w:hint="eastAsia" w:ascii="仿宋" w:hAnsi="仿宋" w:eastAsia="仿宋" w:cs="仿宋"/>
        </w:rPr>
        <w:t>自动控制任务区</w:t>
      </w:r>
    </w:p>
    <w:p>
      <w:pPr>
        <w:spacing w:line="420" w:lineRule="exact"/>
        <w:rPr>
          <w:rFonts w:ascii="仿宋" w:hAnsi="仿宋" w:eastAsia="仿宋" w:cs="仿宋"/>
          <w:kern w:val="0"/>
          <w:sz w:val="24"/>
        </w:rPr>
      </w:pPr>
      <w:r>
        <w:rPr>
          <w:rFonts w:hint="eastAsia" w:ascii="仿宋" w:hAnsi="仿宋" w:eastAsia="仿宋" w:cs="仿宋"/>
        </w:rPr>
        <w:drawing>
          <wp:anchor distT="0" distB="0" distL="114300" distR="114300" simplePos="0" relativeHeight="251724800" behindDoc="0" locked="0" layoutInCell="1" allowOverlap="1">
            <wp:simplePos x="0" y="0"/>
            <wp:positionH relativeFrom="margin">
              <wp:posOffset>768985</wp:posOffset>
            </wp:positionH>
            <wp:positionV relativeFrom="paragraph">
              <wp:posOffset>963295</wp:posOffset>
            </wp:positionV>
            <wp:extent cx="2970530" cy="1478915"/>
            <wp:effectExtent l="0" t="0" r="127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0530" cy="1478915"/>
                    </a:xfrm>
                    <a:prstGeom prst="rect">
                      <a:avLst/>
                    </a:prstGeom>
                  </pic:spPr>
                </pic:pic>
              </a:graphicData>
            </a:graphic>
          </wp:anchor>
        </w:drawing>
      </w:r>
      <w:r>
        <w:rPr>
          <w:rFonts w:hint="eastAsia" w:ascii="仿宋" w:hAnsi="仿宋" w:eastAsia="仿宋" w:cs="仿宋"/>
          <w:kern w:val="0"/>
          <w:sz w:val="28"/>
        </w:rPr>
        <w:tab/>
      </w:r>
      <w:r>
        <w:rPr>
          <w:rFonts w:hint="eastAsia" w:ascii="仿宋" w:hAnsi="仿宋" w:eastAsia="仿宋" w:cs="仿宋"/>
          <w:b/>
          <w:sz w:val="24"/>
          <w:szCs w:val="21"/>
        </w:rPr>
        <w:t>自动区</w:t>
      </w:r>
      <w:r>
        <w:rPr>
          <w:rFonts w:hint="eastAsia" w:ascii="仿宋" w:hAnsi="仿宋" w:eastAsia="仿宋" w:cs="仿宋"/>
          <w:kern w:val="0"/>
          <w:sz w:val="24"/>
        </w:rPr>
        <w:t>由蓝方独立任务区</w:t>
      </w:r>
      <w:r>
        <w:rPr>
          <w:rFonts w:hint="eastAsia" w:ascii="仿宋" w:hAnsi="仿宋" w:eastAsia="仿宋" w:cs="仿宋"/>
          <w:color w:val="333333"/>
          <w:sz w:val="28"/>
        </w:rPr>
        <w:t>、</w:t>
      </w:r>
      <w:r>
        <w:rPr>
          <w:rFonts w:hint="eastAsia" w:ascii="仿宋" w:hAnsi="仿宋" w:eastAsia="仿宋" w:cs="仿宋"/>
          <w:kern w:val="0"/>
          <w:sz w:val="24"/>
        </w:rPr>
        <w:t>红方独立任务区以及联盟任务区构成，如下图2.3所示。</w:t>
      </w:r>
    </w:p>
    <w:p>
      <w:pPr>
        <w:pStyle w:val="15"/>
        <w:spacing w:before="0" w:beforeAutospacing="0" w:after="0" w:afterAutospacing="0" w:line="420" w:lineRule="exact"/>
        <w:ind w:firstLine="482" w:firstLineChars="200"/>
        <w:jc w:val="center"/>
        <w:rPr>
          <w:rFonts w:ascii="仿宋" w:hAnsi="仿宋" w:eastAsia="仿宋" w:cs="仿宋"/>
          <w:b/>
          <w:kern w:val="2"/>
          <w:szCs w:val="21"/>
        </w:rPr>
      </w:pPr>
      <w:r>
        <w:rPr>
          <w:rFonts w:hint="eastAsia" w:ascii="仿宋" w:hAnsi="仿宋" w:eastAsia="仿宋" w:cs="仿宋"/>
          <w:b/>
          <w:kern w:val="2"/>
          <w:szCs w:val="21"/>
        </w:rPr>
        <w:t>图2.3红/蓝方独立与联盟任务区划分</w:t>
      </w:r>
    </w:p>
    <w:p>
      <w:pPr>
        <w:pStyle w:val="64"/>
        <w:spacing w:line="420" w:lineRule="exact"/>
        <w:rPr>
          <w:rFonts w:ascii="仿宋" w:hAnsi="仿宋" w:eastAsia="仿宋" w:cs="仿宋"/>
        </w:rPr>
      </w:pPr>
      <w:r>
        <w:rPr>
          <w:rFonts w:hint="eastAsia" w:ascii="仿宋" w:hAnsi="仿宋" w:eastAsia="仿宋" w:cs="仿宋"/>
        </w:rPr>
        <w:t>手动控制任务区</w:t>
      </w:r>
    </w:p>
    <w:p>
      <w:pPr>
        <w:pStyle w:val="30"/>
        <w:spacing w:line="420" w:lineRule="exact"/>
        <w:rPr>
          <w:rFonts w:ascii="仿宋" w:hAnsi="仿宋" w:eastAsia="仿宋" w:cs="仿宋"/>
        </w:rPr>
      </w:pPr>
      <w:r>
        <w:rPr>
          <w:rFonts w:hint="eastAsia" w:ascii="仿宋" w:hAnsi="仿宋" w:eastAsia="仿宋" w:cs="仿宋"/>
          <w:b/>
          <w:color w:val="auto"/>
        </w:rPr>
        <w:t>手动区</w:t>
      </w:r>
      <w:r>
        <w:rPr>
          <w:rFonts w:hint="eastAsia" w:ascii="仿宋" w:hAnsi="仿宋" w:eastAsia="仿宋" w:cs="仿宋"/>
          <w:color w:val="333333"/>
        </w:rPr>
        <w:t>，内</w:t>
      </w:r>
      <w:r>
        <w:rPr>
          <w:rFonts w:hint="eastAsia" w:ascii="仿宋" w:hAnsi="仿宋" w:eastAsia="仿宋" w:cs="仿宋"/>
        </w:rPr>
        <w:t>包含启动区、装载区（下图右侧的区域，大小为400mm*1150mm）、相关任务道具放置处以及其它区域，如下图所示。</w:t>
      </w:r>
    </w:p>
    <w:p>
      <w:pPr>
        <w:pStyle w:val="30"/>
        <w:spacing w:line="420" w:lineRule="exact"/>
        <w:rPr>
          <w:rFonts w:ascii="仿宋" w:hAnsi="仿宋" w:eastAsia="仿宋" w:cs="仿宋"/>
        </w:rPr>
      </w:pPr>
      <w:r>
        <w:rPr>
          <w:rFonts w:hint="eastAsia" w:ascii="仿宋" w:hAnsi="仿宋" w:eastAsia="仿宋" w:cs="仿宋"/>
        </w:rPr>
        <w:t>实际比赛场地中，装载区面向容器方向的边缘线为一条长1150mm、宽25mm、厚约2mm的魔术贴（下图已将魔术贴标注为红色线条）。</w:t>
      </w:r>
    </w:p>
    <w:p>
      <w:pPr>
        <w:pStyle w:val="30"/>
        <w:spacing w:line="420" w:lineRule="exact"/>
        <w:jc w:val="center"/>
        <w:rPr>
          <w:rFonts w:ascii="仿宋" w:hAnsi="仿宋" w:eastAsia="仿宋" w:cs="仿宋"/>
          <w:b/>
        </w:rPr>
      </w:pPr>
      <w:r>
        <w:rPr>
          <w:rFonts w:hint="eastAsia" w:ascii="仿宋" w:hAnsi="仿宋" w:eastAsia="仿宋" w:cs="仿宋"/>
        </w:rPr>
        <w:drawing>
          <wp:anchor distT="0" distB="0" distL="114300" distR="114300" simplePos="0" relativeHeight="251713536" behindDoc="0" locked="0" layoutInCell="1" allowOverlap="1">
            <wp:simplePos x="0" y="0"/>
            <wp:positionH relativeFrom="margin">
              <wp:posOffset>1201420</wp:posOffset>
            </wp:positionH>
            <wp:positionV relativeFrom="paragraph">
              <wp:posOffset>147955</wp:posOffset>
            </wp:positionV>
            <wp:extent cx="3020695" cy="1461770"/>
            <wp:effectExtent l="0" t="0" r="12065" b="1270"/>
            <wp:wrapTopAndBottom/>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20695" cy="1461770"/>
                    </a:xfrm>
                    <a:prstGeom prst="rect">
                      <a:avLst/>
                    </a:prstGeom>
                  </pic:spPr>
                </pic:pic>
              </a:graphicData>
            </a:graphic>
          </wp:anchor>
        </w:drawing>
      </w:r>
      <w:r>
        <w:rPr>
          <w:rFonts w:hint="eastAsia" w:ascii="仿宋" w:hAnsi="仿宋" w:eastAsia="仿宋" w:cs="仿宋"/>
          <w:b/>
        </w:rPr>
        <w:t>图2.4</w:t>
      </w:r>
      <w:r>
        <w:rPr>
          <w:rFonts w:hint="eastAsia" w:ascii="仿宋" w:hAnsi="仿宋" w:eastAsia="仿宋" w:cs="仿宋"/>
          <w:b/>
          <w:color w:val="auto"/>
        </w:rPr>
        <w:t>手动区</w:t>
      </w:r>
      <w:r>
        <w:rPr>
          <w:rFonts w:hint="eastAsia" w:ascii="仿宋" w:hAnsi="仿宋" w:eastAsia="仿宋" w:cs="仿宋"/>
          <w:b/>
        </w:rPr>
        <w:t>-区域编号</w:t>
      </w:r>
    </w:p>
    <w:p>
      <w:pPr>
        <w:pStyle w:val="15"/>
        <w:spacing w:line="420" w:lineRule="exact"/>
        <w:rPr>
          <w:rFonts w:ascii="仿宋" w:hAnsi="仿宋" w:eastAsia="仿宋" w:cs="仿宋"/>
          <w:color w:val="333333"/>
        </w:rPr>
      </w:pPr>
      <w:r>
        <w:rPr>
          <w:rFonts w:hint="eastAsia" w:ascii="仿宋" w:hAnsi="仿宋" w:eastAsia="仿宋" w:cs="仿宋"/>
          <w:color w:val="333333"/>
        </w:rPr>
        <w:tab/>
      </w:r>
      <w:r>
        <w:rPr>
          <w:rFonts w:hint="eastAsia" w:ascii="仿宋" w:hAnsi="仿宋" w:eastAsia="仿宋" w:cs="仿宋"/>
          <w:color w:val="333333"/>
        </w:rPr>
        <w:tab/>
      </w:r>
      <w:r>
        <w:rPr>
          <w:rFonts w:hint="eastAsia" w:ascii="仿宋" w:hAnsi="仿宋" w:eastAsia="仿宋" w:cs="仿宋"/>
          <w:b/>
          <w:kern w:val="2"/>
          <w:szCs w:val="21"/>
        </w:rPr>
        <w:t>手动区</w:t>
      </w:r>
      <w:r>
        <w:rPr>
          <w:rFonts w:hint="eastAsia" w:ascii="仿宋" w:hAnsi="仿宋" w:eastAsia="仿宋" w:cs="仿宋"/>
          <w:color w:val="333333"/>
        </w:rPr>
        <w:t>内，区域编号、具体名称以及功能说明如下表2.1所示。</w:t>
      </w:r>
    </w:p>
    <w:tbl>
      <w:tblPr>
        <w:tblStyle w:val="85"/>
        <w:tblW w:w="7373" w:type="dxa"/>
        <w:jc w:val="cente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fixed"/>
        <w:tblCellMar>
          <w:top w:w="0" w:type="dxa"/>
          <w:left w:w="108" w:type="dxa"/>
          <w:bottom w:w="0" w:type="dxa"/>
          <w:right w:w="108" w:type="dxa"/>
        </w:tblCellMar>
      </w:tblPr>
      <w:tblGrid>
        <w:gridCol w:w="2117"/>
        <w:gridCol w:w="5256"/>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117" w:type="dxa"/>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区域名称</w:t>
            </w:r>
          </w:p>
        </w:tc>
        <w:tc>
          <w:tcPr>
            <w:tcW w:w="5256"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区域功能</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117" w:type="dxa"/>
            <w:shd w:val="clear" w:color="auto" w:fill="ECECEC" w:themeFill="accent3" w:themeFillTint="33"/>
            <w:vAlign w:val="center"/>
          </w:tcPr>
          <w:p>
            <w:pPr>
              <w:pStyle w:val="15"/>
              <w:spacing w:line="420" w:lineRule="exact"/>
              <w:rPr>
                <w:rFonts w:ascii="仿宋" w:hAnsi="仿宋" w:eastAsia="仿宋" w:cs="仿宋"/>
                <w:b/>
                <w:bCs/>
                <w:color w:val="333333"/>
              </w:rPr>
            </w:pPr>
            <w:r>
              <w:rPr>
                <w:rFonts w:hint="eastAsia" w:ascii="仿宋" w:hAnsi="仿宋" w:eastAsia="仿宋" w:cs="仿宋"/>
                <w:b/>
                <w:bCs/>
                <w:color w:val="333333"/>
              </w:rPr>
              <w:t>L:装载区</w:t>
            </w:r>
          </w:p>
        </w:tc>
        <w:tc>
          <w:tcPr>
            <w:tcW w:w="5256" w:type="dxa"/>
            <w:shd w:val="clear" w:color="auto" w:fill="ECECEC" w:themeFill="accent3" w:themeFillTint="33"/>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观察手在此处改装机器人或者给机器人装载小球</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117" w:type="dxa"/>
            <w:vAlign w:val="center"/>
          </w:tcPr>
          <w:p>
            <w:pPr>
              <w:pStyle w:val="15"/>
              <w:spacing w:line="420" w:lineRule="exact"/>
              <w:rPr>
                <w:rFonts w:ascii="仿宋" w:hAnsi="仿宋" w:eastAsia="仿宋" w:cs="仿宋"/>
                <w:b/>
                <w:bCs/>
                <w:color w:val="333333"/>
              </w:rPr>
            </w:pPr>
            <w:r>
              <w:rPr>
                <w:rFonts w:hint="eastAsia" w:ascii="仿宋" w:hAnsi="仿宋" w:eastAsia="仿宋" w:cs="仿宋"/>
                <w:b/>
                <w:bCs/>
                <w:color w:val="333333"/>
              </w:rPr>
              <w:t>P:白色小球放置处</w:t>
            </w:r>
          </w:p>
        </w:tc>
        <w:tc>
          <w:tcPr>
            <w:tcW w:w="5256" w:type="dxa"/>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由摆球架固定的白色小球初始位置</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117" w:type="dxa"/>
            <w:shd w:val="clear" w:color="auto" w:fill="ECECEC" w:themeFill="accent3" w:themeFillTint="33"/>
            <w:vAlign w:val="center"/>
          </w:tcPr>
          <w:p>
            <w:pPr>
              <w:pStyle w:val="15"/>
              <w:spacing w:line="420" w:lineRule="exact"/>
              <w:rPr>
                <w:rFonts w:ascii="仿宋" w:hAnsi="仿宋" w:eastAsia="仿宋" w:cs="仿宋"/>
                <w:b/>
                <w:bCs/>
                <w:color w:val="333333"/>
              </w:rPr>
            </w:pPr>
            <w:r>
              <w:rPr>
                <w:rFonts w:hint="eastAsia" w:ascii="仿宋" w:hAnsi="仿宋" w:eastAsia="仿宋" w:cs="仿宋"/>
                <w:b/>
                <w:bCs/>
                <w:color w:val="333333"/>
              </w:rPr>
              <w:t>C:容器放置处</w:t>
            </w:r>
          </w:p>
        </w:tc>
        <w:tc>
          <w:tcPr>
            <w:tcW w:w="5256" w:type="dxa"/>
            <w:shd w:val="clear" w:color="auto" w:fill="ECECEC" w:themeFill="accent3" w:themeFillTint="33"/>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放置并固定容器的位置</w:t>
            </w:r>
          </w:p>
        </w:tc>
      </w:tr>
    </w:tbl>
    <w:p>
      <w:pPr>
        <w:pStyle w:val="15"/>
        <w:spacing w:line="420" w:lineRule="exact"/>
        <w:jc w:val="center"/>
        <w:rPr>
          <w:rFonts w:ascii="仿宋" w:hAnsi="仿宋" w:eastAsia="仿宋" w:cs="仿宋"/>
          <w:b/>
          <w:color w:val="333333"/>
        </w:rPr>
      </w:pPr>
      <w:r>
        <w:rPr>
          <w:rFonts w:hint="eastAsia" w:ascii="仿宋" w:hAnsi="仿宋" w:eastAsia="仿宋" w:cs="仿宋"/>
          <w:b/>
          <w:color w:val="333333"/>
        </w:rPr>
        <w:t>表2.1</w:t>
      </w:r>
      <w:r>
        <w:rPr>
          <w:rFonts w:hint="eastAsia" w:ascii="仿宋" w:hAnsi="仿宋" w:eastAsia="仿宋" w:cs="仿宋"/>
          <w:b/>
          <w:kern w:val="2"/>
          <w:szCs w:val="21"/>
        </w:rPr>
        <w:t>手动区-</w:t>
      </w:r>
      <w:r>
        <w:rPr>
          <w:rFonts w:hint="eastAsia" w:ascii="仿宋" w:hAnsi="仿宋" w:eastAsia="仿宋" w:cs="仿宋"/>
          <w:b/>
          <w:color w:val="333333"/>
        </w:rPr>
        <w:t>区域说明</w:t>
      </w:r>
    </w:p>
    <w:p>
      <w:pPr>
        <w:pStyle w:val="15"/>
        <w:spacing w:line="420" w:lineRule="exact"/>
        <w:contextualSpacing/>
        <w:jc w:val="both"/>
        <w:rPr>
          <w:rFonts w:ascii="仿宋" w:hAnsi="仿宋" w:eastAsia="仿宋" w:cs="仿宋"/>
          <w:color w:val="333333"/>
        </w:rPr>
      </w:pPr>
      <w:r>
        <w:rPr>
          <w:rFonts w:hint="eastAsia" w:ascii="仿宋" w:hAnsi="仿宋" w:eastAsia="仿宋" w:cs="仿宋"/>
          <w:b/>
          <w:color w:val="333333"/>
        </w:rPr>
        <w:tab/>
      </w:r>
      <w:r>
        <w:rPr>
          <w:rFonts w:hint="eastAsia" w:ascii="仿宋" w:hAnsi="仿宋" w:eastAsia="仿宋" w:cs="仿宋"/>
          <w:color w:val="333333"/>
        </w:rPr>
        <w:t>以上位置与区域的划分，是功能以及位置的示意图。详细尺寸以实际地图为准。</w:t>
      </w:r>
    </w:p>
    <w:p>
      <w:pPr>
        <w:pStyle w:val="64"/>
        <w:spacing w:line="420" w:lineRule="exact"/>
        <w:rPr>
          <w:rFonts w:ascii="仿宋" w:hAnsi="仿宋" w:eastAsia="仿宋" w:cs="仿宋"/>
        </w:rPr>
      </w:pPr>
      <w:r>
        <w:rPr>
          <w:rFonts w:hint="eastAsia" w:ascii="仿宋" w:hAnsi="仿宋" w:eastAsia="仿宋" w:cs="仿宋"/>
        </w:rPr>
        <w:t>启动区</w:t>
      </w:r>
    </w:p>
    <w:p>
      <w:pPr>
        <w:pStyle w:val="30"/>
        <w:spacing w:line="420" w:lineRule="exact"/>
        <w:rPr>
          <w:rFonts w:ascii="仿宋" w:hAnsi="仿宋" w:eastAsia="仿宋" w:cs="仿宋"/>
          <w:color w:val="auto"/>
        </w:rPr>
      </w:pPr>
      <w:r>
        <w:rPr>
          <w:rFonts w:hint="eastAsia" w:ascii="仿宋" w:hAnsi="仿宋" w:eastAsia="仿宋" w:cs="仿宋"/>
          <w:color w:val="auto"/>
        </w:rPr>
        <w:t>整个比赛场地里面有四个启动区，其中蓝方两个，红方两个。</w:t>
      </w:r>
    </w:p>
    <w:p>
      <w:pPr>
        <w:pStyle w:val="30"/>
        <w:spacing w:line="420" w:lineRule="exact"/>
        <w:rPr>
          <w:rFonts w:ascii="仿宋" w:hAnsi="仿宋" w:eastAsia="仿宋" w:cs="仿宋"/>
          <w:color w:val="auto"/>
        </w:rPr>
      </w:pPr>
      <w:r>
        <w:rPr>
          <w:rFonts w:hint="eastAsia" w:ascii="仿宋" w:hAnsi="仿宋" w:eastAsia="仿宋" w:cs="仿宋"/>
          <w:color w:val="auto"/>
        </w:rPr>
        <w:t>启动区分为两种，一种是</w:t>
      </w:r>
      <w:r>
        <w:rPr>
          <w:rFonts w:hint="eastAsia" w:ascii="仿宋" w:hAnsi="仿宋" w:eastAsia="仿宋" w:cs="仿宋"/>
          <w:b/>
          <w:color w:val="auto"/>
        </w:rPr>
        <w:t>自动区</w:t>
      </w:r>
      <w:r>
        <w:rPr>
          <w:rFonts w:hint="eastAsia" w:ascii="仿宋" w:hAnsi="仿宋" w:eastAsia="仿宋" w:cs="仿宋"/>
          <w:color w:val="auto"/>
        </w:rPr>
        <w:t>内的启动区（为边长342mm±1mm的正方形减去一个腰长为124mm±1mm的等腰三角形），如下图2.5黑色虚线内所示。</w:t>
      </w:r>
    </w:p>
    <w:p>
      <w:pPr>
        <w:pStyle w:val="30"/>
        <w:spacing w:line="420" w:lineRule="exact"/>
        <w:rPr>
          <w:rFonts w:ascii="仿宋" w:hAnsi="仿宋" w:eastAsia="仿宋" w:cs="仿宋"/>
        </w:rPr>
      </w:pPr>
      <w:r>
        <w:rPr>
          <w:rFonts w:hint="eastAsia" w:ascii="仿宋" w:hAnsi="仿宋" w:eastAsia="仿宋" w:cs="仿宋"/>
          <w:color w:val="auto"/>
        </w:rPr>
        <w:t>另一种是</w:t>
      </w:r>
      <w:r>
        <w:rPr>
          <w:rFonts w:hint="eastAsia" w:ascii="仿宋" w:hAnsi="仿宋" w:eastAsia="仿宋" w:cs="仿宋"/>
          <w:b/>
          <w:color w:val="auto"/>
        </w:rPr>
        <w:t>手动区</w:t>
      </w:r>
      <w:r>
        <w:rPr>
          <w:rFonts w:hint="eastAsia" w:ascii="仿宋" w:hAnsi="仿宋" w:eastAsia="仿宋" w:cs="仿宋"/>
          <w:color w:val="auto"/>
        </w:rPr>
        <w:t>内的启动区（边长为280mm的正方形），如下图2.7黑色虚线内所示。</w:t>
      </w:r>
    </w:p>
    <w:p>
      <w:pPr>
        <w:pStyle w:val="30"/>
        <w:ind w:firstLine="0"/>
        <w:jc w:val="left"/>
        <w:rPr>
          <w:rFonts w:ascii="仿宋" w:hAnsi="仿宋" w:eastAsia="仿宋" w:cs="仿宋"/>
          <w:b/>
          <w:color w:val="auto"/>
        </w:rPr>
      </w:pPr>
      <w:r>
        <w:rPr>
          <w:rFonts w:hint="eastAsia" w:ascii="仿宋" w:hAnsi="仿宋" w:eastAsia="仿宋" w:cs="仿宋"/>
        </w:rPr>
        <w:drawing>
          <wp:inline distT="0" distB="0" distL="0" distR="0">
            <wp:extent cx="1207135" cy="717550"/>
            <wp:effectExtent l="0" t="0" r="1206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1207135" cy="717550"/>
                    </a:xfrm>
                    <a:prstGeom prst="rect">
                      <a:avLst/>
                    </a:prstGeom>
                  </pic:spPr>
                </pic:pic>
              </a:graphicData>
            </a:graphic>
          </wp:inline>
        </w:drawing>
      </w:r>
      <w:r>
        <w:rPr>
          <w:rFonts w:hint="eastAsia" w:ascii="仿宋" w:hAnsi="仿宋" w:eastAsia="仿宋" w:cs="仿宋"/>
        </w:rPr>
        <w:drawing>
          <wp:inline distT="0" distB="0" distL="0" distR="0">
            <wp:extent cx="1144905" cy="685165"/>
            <wp:effectExtent l="0" t="0" r="133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1144905" cy="685165"/>
                    </a:xfrm>
                    <a:prstGeom prst="rect">
                      <a:avLst/>
                    </a:prstGeom>
                  </pic:spPr>
                </pic:pic>
              </a:graphicData>
            </a:graphic>
          </wp:inline>
        </w:drawing>
      </w:r>
      <w:r>
        <w:rPr>
          <w:rFonts w:hint="eastAsia" w:ascii="仿宋" w:hAnsi="仿宋" w:eastAsia="仿宋" w:cs="仿宋"/>
          <w:b/>
          <w:color w:val="auto"/>
        </w:rPr>
        <w:t>图2.6 启动区尺寸示意图（自动区</w:t>
      </w:r>
    </w:p>
    <w:p>
      <w:pPr>
        <w:pStyle w:val="30"/>
        <w:ind w:firstLine="0"/>
        <w:jc w:val="center"/>
        <w:rPr>
          <w:rFonts w:ascii="仿宋" w:hAnsi="仿宋" w:eastAsia="仿宋" w:cs="仿宋"/>
        </w:rPr>
      </w:pPr>
      <w:r>
        <w:rPr>
          <w:rFonts w:hint="eastAsia" w:ascii="仿宋" w:hAnsi="仿宋" w:eastAsia="仿宋" w:cs="仿宋"/>
        </w:rPr>
        <w:drawing>
          <wp:anchor distT="0" distB="0" distL="114300" distR="114300" simplePos="0" relativeHeight="251766784" behindDoc="0" locked="0" layoutInCell="1" allowOverlap="1">
            <wp:simplePos x="0" y="0"/>
            <wp:positionH relativeFrom="margin">
              <wp:posOffset>372110</wp:posOffset>
            </wp:positionH>
            <wp:positionV relativeFrom="paragraph">
              <wp:posOffset>179070</wp:posOffset>
            </wp:positionV>
            <wp:extent cx="1741805" cy="843915"/>
            <wp:effectExtent l="0" t="0" r="10795" b="952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1805" cy="843915"/>
                    </a:xfrm>
                    <a:prstGeom prst="rect">
                      <a:avLst/>
                    </a:prstGeom>
                  </pic:spPr>
                </pic:pic>
              </a:graphicData>
            </a:graphic>
          </wp:anchor>
        </w:drawing>
      </w:r>
      <w:r>
        <w:rPr>
          <w:rFonts w:hint="eastAsia" w:ascii="仿宋" w:hAnsi="仿宋" w:eastAsia="仿宋" w:cs="仿宋"/>
        </w:rPr>
        <w:t xml:space="preserve">                 </w:t>
      </w:r>
      <w:r>
        <w:rPr>
          <w:rFonts w:hint="eastAsia" w:ascii="仿宋" w:hAnsi="仿宋" w:eastAsia="仿宋" w:cs="仿宋"/>
          <w:b/>
        </w:rPr>
        <w:t>图2.8启动区尺寸示意图（手动区）</w:t>
      </w:r>
    </w:p>
    <w:p>
      <w:pPr>
        <w:pStyle w:val="34"/>
        <w:numPr>
          <w:ilvl w:val="1"/>
          <w:numId w:val="0"/>
        </w:numPr>
        <w:spacing w:line="420" w:lineRule="exact"/>
        <w:rPr>
          <w:rFonts w:ascii="仿宋" w:hAnsi="仿宋" w:eastAsia="仿宋" w:cs="仿宋"/>
          <w:color w:val="000000" w:themeColor="text1"/>
          <w:sz w:val="22"/>
          <w:szCs w:val="22"/>
        </w:rPr>
      </w:pPr>
      <w:bookmarkStart w:id="4" w:name="_Toc18771"/>
      <w:bookmarkStart w:id="5" w:name="_Toc34640255"/>
      <w:bookmarkStart w:id="6" w:name="_Toc62046385"/>
      <w:bookmarkStart w:id="7" w:name="_Toc22780"/>
      <w:r>
        <w:rPr>
          <w:rFonts w:hint="eastAsia" w:ascii="仿宋" w:hAnsi="仿宋" w:eastAsia="仿宋" w:cs="仿宋"/>
          <w:color w:val="000000" w:themeColor="text1"/>
          <w:sz w:val="22"/>
          <w:szCs w:val="22"/>
        </w:rPr>
        <w:t>4.2比赛阶段说明</w:t>
      </w:r>
      <w:bookmarkEnd w:id="4"/>
      <w:bookmarkEnd w:id="5"/>
      <w:bookmarkEnd w:id="6"/>
      <w:bookmarkEnd w:id="7"/>
    </w:p>
    <w:p>
      <w:pPr>
        <w:pStyle w:val="64"/>
        <w:spacing w:line="420" w:lineRule="exact"/>
        <w:rPr>
          <w:rFonts w:ascii="仿宋" w:hAnsi="仿宋" w:eastAsia="仿宋" w:cs="仿宋"/>
        </w:rPr>
      </w:pPr>
      <w:r>
        <w:rPr>
          <w:rFonts w:hint="eastAsia" w:ascii="仿宋" w:hAnsi="仿宋" w:eastAsia="仿宋" w:cs="仿宋"/>
        </w:rPr>
        <w:t>阶段时长说明</w:t>
      </w:r>
    </w:p>
    <w:p>
      <w:pPr>
        <w:pStyle w:val="30"/>
        <w:spacing w:line="420" w:lineRule="exact"/>
        <w:rPr>
          <w:rFonts w:ascii="仿宋" w:hAnsi="仿宋" w:eastAsia="仿宋" w:cs="仿宋"/>
        </w:rPr>
      </w:pPr>
      <w:r>
        <w:rPr>
          <w:rFonts w:hint="eastAsia" w:ascii="仿宋" w:hAnsi="仿宋" w:eastAsia="仿宋" w:cs="仿宋"/>
        </w:rPr>
        <w:t>单场比赛总时长为240秒，由自动控制阶段和手动控制阶段组成。其中自动控制阶段时长由联盟双方自行决定，手动控制阶段时长为240秒内剩下的时间。</w:t>
      </w:r>
    </w:p>
    <w:tbl>
      <w:tblPr>
        <w:tblStyle w:val="85"/>
        <w:tblW w:w="5111" w:type="dxa"/>
        <w:jc w:val="cente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fixed"/>
        <w:tblCellMar>
          <w:top w:w="0" w:type="dxa"/>
          <w:left w:w="108" w:type="dxa"/>
          <w:bottom w:w="0" w:type="dxa"/>
          <w:right w:w="108" w:type="dxa"/>
        </w:tblCellMar>
      </w:tblPr>
      <w:tblGrid>
        <w:gridCol w:w="2619"/>
        <w:gridCol w:w="722"/>
        <w:gridCol w:w="1770"/>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3341" w:type="dxa"/>
            <w:gridSpan w:val="2"/>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实际花费时长（s）</w:t>
            </w:r>
          </w:p>
        </w:tc>
        <w:tc>
          <w:tcPr>
            <w:tcW w:w="1770"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取值范围（s）</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619" w:type="dxa"/>
            <w:shd w:val="clear" w:color="auto" w:fill="ECECEC" w:themeFill="accent3" w:themeFillTint="33"/>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自动控制阶段实际时长</w:t>
            </w:r>
          </w:p>
        </w:tc>
        <w:tc>
          <w:tcPr>
            <w:tcW w:w="722" w:type="dxa"/>
            <w:shd w:val="clear" w:color="auto" w:fill="ECECEC" w:themeFill="accent3" w:themeFillTint="33"/>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X</w:t>
            </w:r>
          </w:p>
        </w:tc>
        <w:tc>
          <w:tcPr>
            <w:tcW w:w="1770" w:type="dxa"/>
            <w:shd w:val="clear" w:color="auto" w:fill="ECECEC" w:themeFill="accent3" w:themeFillTint="33"/>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[0, 240]</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619" w:type="dxa"/>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准备阶段时长</w:t>
            </w:r>
          </w:p>
        </w:tc>
        <w:tc>
          <w:tcPr>
            <w:tcW w:w="722" w:type="dxa"/>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30</w:t>
            </w:r>
          </w:p>
        </w:tc>
        <w:tc>
          <w:tcPr>
            <w:tcW w:w="1770" w:type="dxa"/>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[0, 30]</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619" w:type="dxa"/>
            <w:shd w:val="clear" w:color="auto" w:fill="ECECEC" w:themeFill="accent3" w:themeFillTint="33"/>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手动控制阶段实际时长</w:t>
            </w:r>
          </w:p>
        </w:tc>
        <w:tc>
          <w:tcPr>
            <w:tcW w:w="722" w:type="dxa"/>
            <w:shd w:val="clear" w:color="auto" w:fill="ECECEC" w:themeFill="accent3" w:themeFillTint="33"/>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Y</w:t>
            </w:r>
          </w:p>
        </w:tc>
        <w:tc>
          <w:tcPr>
            <w:tcW w:w="1770" w:type="dxa"/>
            <w:shd w:val="clear" w:color="auto" w:fill="ECECEC" w:themeFill="accent3" w:themeFillTint="33"/>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[0, 240-X]</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cantSplit/>
          <w:trHeight w:val="567" w:hRule="atLeast"/>
          <w:jc w:val="center"/>
        </w:trPr>
        <w:tc>
          <w:tcPr>
            <w:tcW w:w="2619" w:type="dxa"/>
            <w:vAlign w:val="center"/>
          </w:tcPr>
          <w:p>
            <w:pPr>
              <w:pStyle w:val="15"/>
              <w:spacing w:line="420" w:lineRule="exact"/>
              <w:jc w:val="center"/>
              <w:rPr>
                <w:rFonts w:ascii="仿宋" w:hAnsi="仿宋" w:eastAsia="仿宋" w:cs="仿宋"/>
                <w:b w:val="0"/>
                <w:bCs w:val="0"/>
                <w:color w:val="333333"/>
              </w:rPr>
            </w:pPr>
            <w:r>
              <w:rPr>
                <w:rFonts w:hint="eastAsia" w:ascii="仿宋" w:hAnsi="仿宋" w:eastAsia="仿宋" w:cs="仿宋"/>
                <w:b/>
                <w:bCs/>
                <w:color w:val="333333"/>
              </w:rPr>
              <w:t>实际比赛总时长</w:t>
            </w:r>
          </w:p>
        </w:tc>
        <w:tc>
          <w:tcPr>
            <w:tcW w:w="722" w:type="dxa"/>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X + Y</w:t>
            </w:r>
          </w:p>
        </w:tc>
        <w:tc>
          <w:tcPr>
            <w:tcW w:w="1770" w:type="dxa"/>
            <w:vAlign w:val="center"/>
          </w:tcPr>
          <w:p>
            <w:pPr>
              <w:pStyle w:val="15"/>
              <w:spacing w:line="420" w:lineRule="exact"/>
              <w:jc w:val="center"/>
              <w:rPr>
                <w:rFonts w:ascii="仿宋" w:hAnsi="仿宋" w:eastAsia="仿宋" w:cs="仿宋"/>
                <w:color w:val="333333"/>
              </w:rPr>
            </w:pPr>
            <w:r>
              <w:rPr>
                <w:rFonts w:hint="eastAsia" w:ascii="仿宋" w:hAnsi="仿宋" w:eastAsia="仿宋" w:cs="仿宋"/>
                <w:color w:val="333333"/>
              </w:rPr>
              <w:t>[0, 240]</w:t>
            </w:r>
          </w:p>
        </w:tc>
      </w:tr>
    </w:tbl>
    <w:p>
      <w:pPr>
        <w:pStyle w:val="30"/>
        <w:spacing w:line="420" w:lineRule="exact"/>
        <w:contextualSpacing/>
        <w:jc w:val="center"/>
        <w:rPr>
          <w:rFonts w:ascii="仿宋" w:hAnsi="仿宋" w:eastAsia="仿宋" w:cs="仿宋"/>
          <w:b/>
          <w:color w:val="auto"/>
        </w:rPr>
      </w:pPr>
      <w:r>
        <w:rPr>
          <w:rFonts w:hint="eastAsia" w:ascii="仿宋" w:hAnsi="仿宋" w:eastAsia="仿宋" w:cs="仿宋"/>
          <w:b/>
          <w:color w:val="auto"/>
        </w:rPr>
        <w:t>表2.2阶段实际时长说明</w:t>
      </w:r>
    </w:p>
    <w:p>
      <w:pPr>
        <w:pStyle w:val="30"/>
        <w:spacing w:beforeLines="50" w:afterLines="50" w:line="500" w:lineRule="exact"/>
        <w:jc w:val="left"/>
        <w:rPr>
          <w:rFonts w:ascii="仿宋" w:hAnsi="仿宋" w:eastAsia="仿宋" w:cs="仿宋"/>
        </w:rPr>
      </w:pPr>
      <w:r>
        <w:rPr>
          <w:rFonts w:hint="eastAsia" w:ascii="仿宋" w:hAnsi="仿宋" w:eastAsia="仿宋" w:cs="仿宋"/>
        </w:rPr>
        <w:t>比赛开始：裁判进行倒计时，并发出“比赛开始”的口令，比赛开始计时，此时比赛进入自动控制阶段，战队开始在自动区内完成相应的任务。</w:t>
      </w:r>
    </w:p>
    <w:p>
      <w:pPr>
        <w:pStyle w:val="30"/>
        <w:spacing w:beforeLines="50" w:afterLines="50" w:line="500" w:lineRule="exact"/>
        <w:jc w:val="left"/>
        <w:rPr>
          <w:rFonts w:ascii="仿宋" w:hAnsi="仿宋" w:eastAsia="仿宋" w:cs="仿宋"/>
          <w:color w:val="auto"/>
        </w:rPr>
      </w:pPr>
      <w:r>
        <w:rPr>
          <w:rFonts w:hint="eastAsia" w:ascii="仿宋" w:hAnsi="仿宋" w:eastAsia="仿宋" w:cs="仿宋"/>
        </w:rPr>
        <w:t>阶段切换：比赛开始后，联盟可随时由自动控制阶段的自动区切换到手动控制阶段的手动区执行任务，但只有一次切换机会，即进入手动区后不可以从手动区域返回自动区。红蓝双方对于阶段的切换须自行达成一致意见，</w:t>
      </w:r>
      <w:r>
        <w:rPr>
          <w:rFonts w:hint="eastAsia" w:ascii="仿宋" w:hAnsi="仿宋" w:eastAsia="仿宋" w:cs="仿宋"/>
          <w:color w:val="auto"/>
        </w:rPr>
        <w:t>并由联盟队长发起，裁判同意后正式执行。</w:t>
      </w:r>
    </w:p>
    <w:p>
      <w:pPr>
        <w:pStyle w:val="30"/>
        <w:spacing w:beforeLines="50" w:afterLines="50" w:line="500" w:lineRule="exact"/>
        <w:contextualSpacing/>
        <w:rPr>
          <w:rFonts w:ascii="仿宋" w:hAnsi="仿宋" w:eastAsia="仿宋" w:cs="仿宋"/>
          <w:color w:val="auto"/>
          <w:lang w:val="en-GB"/>
        </w:rPr>
      </w:pPr>
      <w:r>
        <w:rPr>
          <w:rFonts w:hint="eastAsia" w:ascii="仿宋" w:hAnsi="仿宋" w:eastAsia="仿宋" w:cs="仿宋"/>
          <w:color w:val="auto"/>
        </w:rPr>
        <w:t>准备阶段：在自动控制阶段结束后，手动控制阶段开始前，</w:t>
      </w:r>
      <w:r>
        <w:rPr>
          <w:rFonts w:hint="eastAsia" w:ascii="仿宋" w:hAnsi="仿宋" w:eastAsia="仿宋" w:cs="仿宋"/>
        </w:rPr>
        <w:t>参赛队员进行阶段切换，可将机器人从自动区移动到手动区、改装机器人以及检查蓝牙手柄的连接状态。裁判将会在此阶段对自动控制阶段的得分情况进行记录，并与选手确认。准备阶段时长30秒，将不计入比赛总时长的240秒内。</w:t>
      </w:r>
      <w:r>
        <w:rPr>
          <w:rFonts w:hint="eastAsia" w:ascii="仿宋" w:hAnsi="仿宋" w:eastAsia="仿宋" w:cs="仿宋"/>
          <w:color w:val="auto"/>
          <w:lang w:val="en-GB"/>
        </w:rPr>
        <w:t>超时比赛将直接开始，参赛队员须遵从裁判指示。</w:t>
      </w:r>
    </w:p>
    <w:p>
      <w:pPr>
        <w:pStyle w:val="30"/>
        <w:spacing w:beforeLines="50" w:afterLines="50" w:line="500" w:lineRule="exact"/>
        <w:jc w:val="left"/>
        <w:rPr>
          <w:rFonts w:ascii="仿宋" w:hAnsi="仿宋" w:eastAsia="仿宋" w:cs="仿宋"/>
        </w:rPr>
      </w:pPr>
      <w:r>
        <w:rPr>
          <w:rFonts w:hint="eastAsia" w:ascii="仿宋" w:hAnsi="仿宋" w:eastAsia="仿宋" w:cs="仿宋"/>
        </w:rPr>
        <w:t>比赛结束：当红蓝双方参赛队员举手向裁判申请结束比赛时，裁判将许可并停止计时，比赛提前结束。或者在4分钟的比赛时间用完时，裁判将主动发出“比赛结束”指令后，比赛直接结束。</w:t>
      </w:r>
    </w:p>
    <w:p>
      <w:pPr>
        <w:pStyle w:val="34"/>
        <w:numPr>
          <w:ilvl w:val="1"/>
          <w:numId w:val="0"/>
        </w:numPr>
        <w:spacing w:line="420" w:lineRule="exact"/>
        <w:rPr>
          <w:rFonts w:ascii="仿宋" w:hAnsi="仿宋" w:eastAsia="仿宋" w:cs="仿宋"/>
          <w:color w:val="000000" w:themeColor="text1"/>
          <w:sz w:val="22"/>
          <w:szCs w:val="22"/>
        </w:rPr>
      </w:pPr>
      <w:bookmarkStart w:id="8" w:name="_Toc24885"/>
      <w:bookmarkStart w:id="9" w:name="_Toc34640256"/>
      <w:bookmarkStart w:id="10" w:name="_Toc62046386"/>
      <w:bookmarkStart w:id="11" w:name="_Toc7224"/>
      <w:r>
        <w:rPr>
          <w:rFonts w:hint="eastAsia" w:ascii="仿宋" w:hAnsi="仿宋" w:eastAsia="仿宋" w:cs="仿宋"/>
          <w:color w:val="000000" w:themeColor="text1"/>
          <w:sz w:val="22"/>
          <w:szCs w:val="22"/>
        </w:rPr>
        <w:t>4.3比赛任务说明</w:t>
      </w:r>
      <w:bookmarkEnd w:id="8"/>
      <w:bookmarkEnd w:id="9"/>
      <w:bookmarkEnd w:id="10"/>
      <w:bookmarkEnd w:id="11"/>
    </w:p>
    <w:p>
      <w:pPr>
        <w:pStyle w:val="64"/>
        <w:rPr>
          <w:rFonts w:ascii="仿宋" w:hAnsi="仿宋" w:eastAsia="仿宋" w:cs="仿宋"/>
        </w:rPr>
      </w:pPr>
      <w:r>
        <w:rPr>
          <w:rFonts w:hint="eastAsia" w:ascii="仿宋" w:hAnsi="仿宋" w:eastAsia="仿宋" w:cs="仿宋"/>
        </w:rPr>
        <w:t>任务整体说明</w:t>
      </w:r>
    </w:p>
    <w:p>
      <w:pPr>
        <w:pStyle w:val="30"/>
        <w:spacing w:line="420" w:lineRule="exact"/>
        <w:rPr>
          <w:rFonts w:ascii="仿宋" w:hAnsi="仿宋" w:eastAsia="仿宋" w:cs="仿宋"/>
        </w:rPr>
      </w:pPr>
      <w:r>
        <w:rPr>
          <w:rFonts w:hint="eastAsia" w:ascii="仿宋" w:hAnsi="仿宋" w:eastAsia="仿宋" w:cs="仿宋"/>
        </w:rPr>
        <w:t>比赛任务分为自动独立任务，自动联盟任务和手动联盟任务。</w:t>
      </w:r>
    </w:p>
    <w:p>
      <w:pPr>
        <w:pStyle w:val="30"/>
        <w:spacing w:line="420" w:lineRule="exact"/>
        <w:rPr>
          <w:rFonts w:ascii="仿宋" w:hAnsi="仿宋" w:eastAsia="仿宋" w:cs="仿宋"/>
        </w:rPr>
      </w:pPr>
      <w:r>
        <w:rPr>
          <w:rFonts w:hint="eastAsia" w:ascii="仿宋" w:hAnsi="仿宋" w:eastAsia="仿宋" w:cs="仿宋"/>
        </w:rPr>
        <w:t>比赛任务分为独立任务（M01-M05）与联盟任务(M06-M10)其中 M01-M09须在自动区完成，M10须在手动区完成。</w:t>
      </w:r>
      <w:r>
        <w:rPr>
          <w:rFonts w:hint="eastAsia" w:ascii="仿宋" w:hAnsi="仿宋" w:eastAsia="仿宋" w:cs="仿宋"/>
        </w:rPr>
        <w:tab/>
      </w:r>
    </w:p>
    <w:p>
      <w:pPr>
        <w:pStyle w:val="30"/>
        <w:spacing w:line="420" w:lineRule="exact"/>
        <w:rPr>
          <w:rFonts w:ascii="仿宋" w:hAnsi="仿宋" w:eastAsia="仿宋" w:cs="仿宋"/>
        </w:rPr>
      </w:pPr>
      <w:r>
        <w:rPr>
          <w:rFonts w:hint="eastAsia" w:ascii="仿宋" w:hAnsi="仿宋" w:eastAsia="仿宋" w:cs="仿宋"/>
        </w:rPr>
        <w:t>每场比赛每支战队将完成3个独立任务、3个联盟任务，如下表所示：</w:t>
      </w:r>
    </w:p>
    <w:tbl>
      <w:tblPr>
        <w:tblStyle w:val="72"/>
        <w:tblW w:w="6982" w:type="dxa"/>
        <w:jc w:val="center"/>
        <w:tblLayout w:type="fixed"/>
        <w:tblCellMar>
          <w:top w:w="0" w:type="dxa"/>
          <w:left w:w="108" w:type="dxa"/>
          <w:bottom w:w="0" w:type="dxa"/>
          <w:right w:w="108" w:type="dxa"/>
        </w:tblCellMar>
      </w:tblPr>
      <w:tblGrid>
        <w:gridCol w:w="2811"/>
        <w:gridCol w:w="2145"/>
        <w:gridCol w:w="2026"/>
      </w:tblGrid>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单场完成任务</w:t>
            </w:r>
          </w:p>
        </w:tc>
        <w:tc>
          <w:tcPr>
            <w:tcW w:w="2145" w:type="dxa"/>
            <w:tcBorders>
              <w:top w:val="single" w:color="auto" w:sz="4" w:space="0"/>
              <w:left w:val="single" w:color="auto" w:sz="4" w:space="0"/>
              <w:bottom w:val="single" w:color="auto" w:sz="4" w:space="0"/>
              <w:right w:val="single" w:color="auto" w:sz="4" w:space="0"/>
            </w:tcBorders>
            <w:vAlign w:val="center"/>
          </w:tcPr>
          <w:p>
            <w:pPr>
              <w:pStyle w:val="30"/>
              <w:spacing w:line="420" w:lineRule="exact"/>
              <w:ind w:firstLine="0"/>
              <w:jc w:val="center"/>
              <w:rPr>
                <w:rFonts w:ascii="仿宋" w:hAnsi="仿宋" w:eastAsia="仿宋" w:cs="仿宋"/>
                <w:b w:val="0"/>
                <w:bCs/>
                <w:caps/>
              </w:rPr>
            </w:pPr>
            <w:r>
              <w:rPr>
                <w:rFonts w:hint="eastAsia" w:ascii="仿宋" w:hAnsi="仿宋" w:eastAsia="仿宋" w:cs="仿宋"/>
                <w:b w:val="0"/>
                <w:bCs/>
                <w:caps/>
              </w:rPr>
              <w:t>任务选择</w:t>
            </w:r>
          </w:p>
        </w:tc>
        <w:tc>
          <w:tcPr>
            <w:tcW w:w="2026" w:type="dxa"/>
            <w:tcBorders>
              <w:top w:val="single" w:color="auto" w:sz="4" w:space="0"/>
              <w:left w:val="single" w:color="auto" w:sz="4" w:space="0"/>
              <w:bottom w:val="single" w:color="auto" w:sz="4" w:space="0"/>
              <w:right w:val="single" w:color="auto" w:sz="4" w:space="0"/>
            </w:tcBorders>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任务位置</w:t>
            </w:r>
          </w:p>
        </w:tc>
      </w:tr>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b w:val="0"/>
                <w:bCs/>
                <w:caps/>
              </w:rPr>
            </w:pPr>
            <w:r>
              <w:rPr>
                <w:rFonts w:hint="eastAsia" w:ascii="仿宋" w:hAnsi="仿宋" w:eastAsia="仿宋" w:cs="仿宋"/>
                <w:b w:val="0"/>
                <w:bCs/>
                <w:caps/>
                <w:lang w:val="en-GB"/>
              </w:rPr>
              <w:t>I1:独立任务</w:t>
            </w:r>
            <w:r>
              <w:rPr>
                <w:rFonts w:hint="eastAsia" w:ascii="仿宋" w:hAnsi="仿宋" w:eastAsia="仿宋" w:cs="仿宋"/>
                <w:b w:val="0"/>
                <w:bCs/>
                <w:caps/>
              </w:rPr>
              <w:t>1</w:t>
            </w:r>
          </w:p>
        </w:tc>
        <w:tc>
          <w:tcPr>
            <w:tcW w:w="2145" w:type="dxa"/>
            <w:tcBorders>
              <w:top w:val="single" w:color="auto" w:sz="4" w:space="0"/>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M01或M02</w:t>
            </w:r>
          </w:p>
        </w:tc>
        <w:tc>
          <w:tcPr>
            <w:tcW w:w="2026" w:type="dxa"/>
            <w:vMerge w:val="restart"/>
            <w:tcBorders>
              <w:top w:val="single" w:color="auto" w:sz="4" w:space="0"/>
              <w:left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自动区</w:t>
            </w:r>
          </w:p>
        </w:tc>
      </w:tr>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I2:独立任务</w:t>
            </w:r>
            <w:r>
              <w:rPr>
                <w:rFonts w:hint="eastAsia" w:ascii="仿宋" w:hAnsi="仿宋" w:eastAsia="仿宋" w:cs="仿宋"/>
                <w:b w:val="0"/>
                <w:bCs/>
                <w:caps/>
              </w:rPr>
              <w:t>2</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M03或M04</w:t>
            </w:r>
          </w:p>
        </w:tc>
        <w:tc>
          <w:tcPr>
            <w:tcW w:w="2026" w:type="dxa"/>
            <w:vMerge w:val="continue"/>
            <w:tcBorders>
              <w:left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lang w:val="en-GB"/>
              </w:rPr>
            </w:pPr>
          </w:p>
        </w:tc>
      </w:tr>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I3:独立任务</w:t>
            </w:r>
            <w:r>
              <w:rPr>
                <w:rFonts w:hint="eastAsia" w:ascii="仿宋" w:hAnsi="仿宋" w:eastAsia="仿宋" w:cs="仿宋"/>
                <w:b w:val="0"/>
                <w:bCs/>
                <w:caps/>
              </w:rPr>
              <w:t>3</w:t>
            </w:r>
          </w:p>
        </w:tc>
        <w:tc>
          <w:tcPr>
            <w:tcW w:w="2145" w:type="dxa"/>
            <w:tcBorders>
              <w:top w:val="single" w:color="auto" w:sz="4" w:space="0"/>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M05</w:t>
            </w:r>
          </w:p>
        </w:tc>
        <w:tc>
          <w:tcPr>
            <w:tcW w:w="2026" w:type="dxa"/>
            <w:vMerge w:val="continue"/>
            <w:tcBorders>
              <w:left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lang w:val="en-GB"/>
              </w:rPr>
            </w:pPr>
          </w:p>
        </w:tc>
      </w:tr>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A1:联盟任务</w:t>
            </w:r>
            <w:r>
              <w:rPr>
                <w:rFonts w:hint="eastAsia" w:ascii="仿宋" w:hAnsi="仿宋" w:eastAsia="仿宋" w:cs="仿宋"/>
                <w:b w:val="0"/>
                <w:bCs/>
                <w:caps/>
              </w:rPr>
              <w:t>1</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M06或M07</w:t>
            </w:r>
          </w:p>
        </w:tc>
        <w:tc>
          <w:tcPr>
            <w:tcW w:w="2026" w:type="dxa"/>
            <w:vMerge w:val="continue"/>
            <w:tcBorders>
              <w:left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lang w:val="en-GB"/>
              </w:rPr>
            </w:pPr>
          </w:p>
        </w:tc>
      </w:tr>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A2:联盟任务</w:t>
            </w:r>
            <w:r>
              <w:rPr>
                <w:rFonts w:hint="eastAsia" w:ascii="仿宋" w:hAnsi="仿宋" w:eastAsia="仿宋" w:cs="仿宋"/>
                <w:b w:val="0"/>
                <w:bCs/>
                <w:caps/>
              </w:rPr>
              <w:t>2</w:t>
            </w:r>
          </w:p>
        </w:tc>
        <w:tc>
          <w:tcPr>
            <w:tcW w:w="2145" w:type="dxa"/>
            <w:tcBorders>
              <w:top w:val="single" w:color="auto" w:sz="4" w:space="0"/>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M08或M09</w:t>
            </w:r>
          </w:p>
        </w:tc>
        <w:tc>
          <w:tcPr>
            <w:tcW w:w="2026" w:type="dxa"/>
            <w:vMerge w:val="continue"/>
            <w:tcBorders>
              <w:left w:val="single" w:color="auto" w:sz="4" w:space="0"/>
              <w:bottom w:val="single" w:color="auto" w:sz="4" w:space="0"/>
              <w:right w:val="single" w:color="auto" w:sz="4" w:space="0"/>
            </w:tcBorders>
            <w:shd w:val="clear" w:color="auto" w:fill="9FD3A4" w:themeFill="background1" w:themeFillShade="D9"/>
            <w:vAlign w:val="center"/>
          </w:tcPr>
          <w:p>
            <w:pPr>
              <w:pStyle w:val="30"/>
              <w:spacing w:line="420" w:lineRule="exact"/>
              <w:ind w:firstLine="0"/>
              <w:jc w:val="center"/>
              <w:rPr>
                <w:rFonts w:ascii="仿宋" w:hAnsi="仿宋" w:eastAsia="仿宋" w:cs="仿宋"/>
                <w:lang w:val="en-GB"/>
              </w:rPr>
            </w:pPr>
          </w:p>
        </w:tc>
      </w:tr>
      <w:tr>
        <w:tblPrEx>
          <w:tblCellMar>
            <w:top w:w="0" w:type="dxa"/>
            <w:left w:w="108" w:type="dxa"/>
            <w:bottom w:w="0" w:type="dxa"/>
            <w:right w:w="108" w:type="dxa"/>
          </w:tblCellMar>
        </w:tblPrEx>
        <w:trPr>
          <w:jc w:val="center"/>
        </w:trPr>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b w:val="0"/>
                <w:bCs/>
                <w:caps/>
                <w:lang w:val="en-GB"/>
              </w:rPr>
            </w:pPr>
            <w:r>
              <w:rPr>
                <w:rFonts w:hint="eastAsia" w:ascii="仿宋" w:hAnsi="仿宋" w:eastAsia="仿宋" w:cs="仿宋"/>
                <w:b w:val="0"/>
                <w:bCs/>
                <w:caps/>
                <w:lang w:val="en-GB"/>
              </w:rPr>
              <w:t>A3:联盟任务</w:t>
            </w:r>
            <w:r>
              <w:rPr>
                <w:rFonts w:hint="eastAsia" w:ascii="仿宋" w:hAnsi="仿宋" w:eastAsia="仿宋" w:cs="仿宋"/>
                <w:b w:val="0"/>
                <w:bCs/>
                <w:caps/>
              </w:rPr>
              <w:t>3</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M10</w:t>
            </w:r>
          </w:p>
        </w:tc>
        <w:tc>
          <w:tcPr>
            <w:tcW w:w="20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spacing w:line="420" w:lineRule="exact"/>
              <w:ind w:firstLine="0"/>
              <w:jc w:val="center"/>
              <w:rPr>
                <w:rFonts w:ascii="仿宋" w:hAnsi="仿宋" w:eastAsia="仿宋" w:cs="仿宋"/>
                <w:lang w:val="en-GB"/>
              </w:rPr>
            </w:pPr>
            <w:r>
              <w:rPr>
                <w:rFonts w:hint="eastAsia" w:ascii="仿宋" w:hAnsi="仿宋" w:eastAsia="仿宋" w:cs="仿宋"/>
                <w:lang w:val="en-GB"/>
              </w:rPr>
              <w:t>手动区</w:t>
            </w:r>
          </w:p>
        </w:tc>
      </w:tr>
    </w:tbl>
    <w:p>
      <w:pPr>
        <w:pStyle w:val="30"/>
        <w:spacing w:line="420" w:lineRule="exact"/>
        <w:ind w:firstLine="0"/>
        <w:jc w:val="center"/>
        <w:rPr>
          <w:rFonts w:ascii="仿宋" w:hAnsi="仿宋" w:eastAsia="仿宋" w:cs="仿宋"/>
        </w:rPr>
      </w:pPr>
      <w:r>
        <w:rPr>
          <w:rFonts w:hint="eastAsia" w:ascii="仿宋" w:hAnsi="仿宋" w:eastAsia="仿宋" w:cs="仿宋"/>
        </w:rPr>
        <w:t>表2.3任务整体介绍</w:t>
      </w:r>
    </w:p>
    <w:p>
      <w:pPr>
        <w:pStyle w:val="30"/>
        <w:spacing w:line="420" w:lineRule="exact"/>
        <w:rPr>
          <w:rFonts w:ascii="仿宋" w:hAnsi="仿宋" w:eastAsia="仿宋" w:cs="仿宋"/>
        </w:rPr>
      </w:pPr>
      <w:r>
        <w:rPr>
          <w:rFonts w:hint="eastAsia" w:ascii="仿宋" w:hAnsi="仿宋" w:eastAsia="仿宋" w:cs="仿宋"/>
        </w:rPr>
        <w:t>战队完成独立任务的得分将计入本方独立任务得分中，完成联盟任务的得分将计入联盟任务得分中。</w:t>
      </w:r>
    </w:p>
    <w:p>
      <w:pPr>
        <w:pStyle w:val="30"/>
        <w:spacing w:line="420" w:lineRule="exact"/>
        <w:rPr>
          <w:rFonts w:ascii="仿宋" w:hAnsi="仿宋" w:eastAsia="仿宋" w:cs="仿宋"/>
        </w:rPr>
      </w:pPr>
      <w:r>
        <w:rPr>
          <w:rFonts w:hint="eastAsia" w:ascii="仿宋" w:hAnsi="仿宋" w:eastAsia="仿宋" w:cs="仿宋"/>
        </w:rPr>
        <w:t>组委会将提前约10天通知红蓝双方每场比赛所须完成的3个独立任务、3个联盟任务。红蓝双方将会在实际比赛中完成相同的独立任务。</w:t>
      </w:r>
    </w:p>
    <w:p>
      <w:pPr>
        <w:pStyle w:val="30"/>
        <w:spacing w:line="420" w:lineRule="exact"/>
        <w:rPr>
          <w:rFonts w:ascii="仿宋" w:hAnsi="仿宋" w:eastAsia="仿宋" w:cs="仿宋"/>
        </w:rPr>
      </w:pPr>
    </w:p>
    <w:p>
      <w:pPr>
        <w:pStyle w:val="30"/>
        <w:spacing w:line="420" w:lineRule="exact"/>
        <w:ind w:firstLine="0"/>
        <w:rPr>
          <w:rFonts w:ascii="仿宋" w:hAnsi="仿宋" w:eastAsia="仿宋" w:cs="仿宋"/>
        </w:rPr>
      </w:pPr>
    </w:p>
    <w:p>
      <w:pPr>
        <w:pStyle w:val="64"/>
        <w:rPr>
          <w:rFonts w:ascii="仿宋" w:hAnsi="仿宋" w:eastAsia="仿宋" w:cs="仿宋"/>
        </w:rPr>
      </w:pPr>
      <w:r>
        <w:rPr>
          <w:rFonts w:hint="eastAsia" w:ascii="仿宋" w:hAnsi="仿宋" w:eastAsia="仿宋" w:cs="仿宋"/>
        </w:rPr>
        <w:t>任务位置介绍</w:t>
      </w:r>
    </w:p>
    <w:p>
      <w:pPr>
        <w:pStyle w:val="30"/>
        <w:spacing w:line="420" w:lineRule="exact"/>
        <w:rPr>
          <w:rFonts w:ascii="仿宋" w:hAnsi="仿宋" w:eastAsia="仿宋" w:cs="仿宋"/>
        </w:rPr>
      </w:pPr>
      <w:r>
        <w:rPr>
          <w:rFonts w:hint="eastAsia" w:ascii="仿宋" w:hAnsi="仿宋" w:eastAsia="仿宋" w:cs="仿宋"/>
        </w:rPr>
        <w:t>组委会选定任务后，每场比赛的任务道具将按照如下图位置摆放。自动区的任务道具（M01-M05）为镜面对称摆放。</w:t>
      </w:r>
    </w:p>
    <w:p>
      <w:pPr>
        <w:pStyle w:val="30"/>
        <w:jc w:val="center"/>
        <w:rPr>
          <w:rFonts w:ascii="仿宋" w:hAnsi="仿宋" w:eastAsia="仿宋" w:cs="仿宋"/>
          <w:b/>
        </w:rPr>
      </w:pPr>
      <w:r>
        <w:rPr>
          <w:rFonts w:hint="eastAsia" w:ascii="仿宋" w:hAnsi="仿宋" w:eastAsia="仿宋" w:cs="仿宋"/>
        </w:rPr>
        <w:drawing>
          <wp:anchor distT="0" distB="0" distL="114300" distR="114300" simplePos="0" relativeHeight="251714560" behindDoc="0" locked="0" layoutInCell="1" allowOverlap="1">
            <wp:simplePos x="0" y="0"/>
            <wp:positionH relativeFrom="margin">
              <wp:posOffset>1734820</wp:posOffset>
            </wp:positionH>
            <wp:positionV relativeFrom="paragraph">
              <wp:posOffset>83185</wp:posOffset>
            </wp:positionV>
            <wp:extent cx="2118995" cy="1529080"/>
            <wp:effectExtent l="0" t="0" r="14605" b="10160"/>
            <wp:wrapTopAndBottom/>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18995" cy="1529080"/>
                    </a:xfrm>
                    <a:prstGeom prst="rect">
                      <a:avLst/>
                    </a:prstGeom>
                  </pic:spPr>
                </pic:pic>
              </a:graphicData>
            </a:graphic>
          </wp:anchor>
        </w:drawing>
      </w:r>
      <w:r>
        <w:rPr>
          <w:rFonts w:hint="eastAsia" w:ascii="仿宋" w:hAnsi="仿宋" w:eastAsia="仿宋" w:cs="仿宋"/>
          <w:b/>
        </w:rPr>
        <w:t>图2.9自动区任务道具摆放示意图</w:t>
      </w:r>
    </w:p>
    <w:p>
      <w:pPr>
        <w:pStyle w:val="30"/>
        <w:jc w:val="center"/>
        <w:rPr>
          <w:rFonts w:ascii="仿宋" w:hAnsi="仿宋" w:eastAsia="仿宋" w:cs="仿宋"/>
        </w:rPr>
      </w:pPr>
      <w:r>
        <w:rPr>
          <w:rFonts w:hint="eastAsia" w:ascii="仿宋" w:hAnsi="仿宋" w:eastAsia="仿宋" w:cs="仿宋"/>
          <w:b/>
        </w:rPr>
        <w:drawing>
          <wp:anchor distT="0" distB="0" distL="114300" distR="114300" simplePos="0" relativeHeight="251715584" behindDoc="0" locked="0" layoutInCell="1" allowOverlap="1">
            <wp:simplePos x="0" y="0"/>
            <wp:positionH relativeFrom="margin">
              <wp:posOffset>1388110</wp:posOffset>
            </wp:positionH>
            <wp:positionV relativeFrom="paragraph">
              <wp:posOffset>367665</wp:posOffset>
            </wp:positionV>
            <wp:extent cx="2607945" cy="1268095"/>
            <wp:effectExtent l="0" t="0" r="13335" b="12065"/>
            <wp:wrapTopAndBottom/>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7945" cy="1268095"/>
                    </a:xfrm>
                    <a:prstGeom prst="rect">
                      <a:avLst/>
                    </a:prstGeom>
                  </pic:spPr>
                </pic:pic>
              </a:graphicData>
            </a:graphic>
          </wp:anchor>
        </w:drawing>
      </w:r>
      <w:r>
        <w:rPr>
          <w:rFonts w:hint="eastAsia" w:ascii="仿宋" w:hAnsi="仿宋" w:eastAsia="仿宋" w:cs="仿宋"/>
        </w:rPr>
        <w:t>图2.10手动区任务位置示意</w:t>
      </w:r>
    </w:p>
    <w:p>
      <w:pPr>
        <w:pStyle w:val="30"/>
        <w:spacing w:line="420" w:lineRule="exact"/>
        <w:rPr>
          <w:rFonts w:ascii="仿宋" w:hAnsi="仿宋" w:eastAsia="仿宋" w:cs="仿宋"/>
          <w:color w:val="auto"/>
          <w:szCs w:val="24"/>
        </w:rPr>
      </w:pPr>
      <w:r>
        <w:rPr>
          <w:rFonts w:hint="eastAsia" w:ascii="仿宋" w:hAnsi="仿宋" w:eastAsia="仿宋" w:cs="仿宋"/>
          <w:color w:val="auto"/>
          <w:szCs w:val="24"/>
        </w:rPr>
        <w:t>M01开启太阳能及M02发射交通信号任务摆放位置相同。红蓝双方在比赛中要完成的任务将在比赛开始前由组委会决定并公布。基本介绍如下：</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402"/>
        <w:gridCol w:w="3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64"/>
              <w:spacing w:line="420" w:lineRule="exact"/>
              <w:jc w:val="center"/>
              <w:rPr>
                <w:rFonts w:ascii="仿宋" w:hAnsi="仿宋" w:eastAsia="仿宋" w:cs="仿宋"/>
              </w:rPr>
            </w:pPr>
            <w:r>
              <w:rPr>
                <w:rFonts w:hint="eastAsia" w:ascii="仿宋" w:hAnsi="仿宋" w:eastAsia="仿宋" w:cs="仿宋"/>
              </w:rPr>
              <w:t>独立任务</w:t>
            </w:r>
          </w:p>
        </w:tc>
        <w:tc>
          <w:tcPr>
            <w:tcW w:w="3402"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M01开启太阳能</w:t>
            </w:r>
          </w:p>
        </w:tc>
        <w:tc>
          <w:tcPr>
            <w:tcW w:w="362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M02发射交通信号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任务背景</w:t>
            </w:r>
          </w:p>
        </w:tc>
        <w:tc>
          <w:tcPr>
            <w:tcW w:w="3402"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城市边缘矗立着太阳能发电站，这是城市的能源核心。机器人需要激活该发电站并上传该发电站的运行数据。</w:t>
            </w:r>
          </w:p>
        </w:tc>
        <w:tc>
          <w:tcPr>
            <w:tcW w:w="3629"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城市边缘的信号发射器出现故障，机器人需要激活该信号发射器并成功发送数据。</w:t>
            </w:r>
          </w:p>
          <w:p>
            <w:pPr>
              <w:pStyle w:val="30"/>
              <w:spacing w:line="420" w:lineRule="exact"/>
              <w:ind w:firstLine="0"/>
              <w:rPr>
                <w:rFonts w:ascii="仿宋" w:hAnsi="仿宋" w:eastAsia="仿宋" w:cs="仿宋"/>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道具放置示意图</w:t>
            </w:r>
          </w:p>
        </w:tc>
        <w:tc>
          <w:tcPr>
            <w:tcW w:w="3402" w:type="dxa"/>
          </w:tcPr>
          <w:p>
            <w:pPr>
              <w:pStyle w:val="30"/>
              <w:ind w:firstLine="0"/>
              <w:jc w:val="center"/>
              <w:rPr>
                <w:rFonts w:ascii="仿宋" w:hAnsi="仿宋" w:eastAsia="仿宋" w:cs="仿宋"/>
                <w:color w:val="auto"/>
                <w:szCs w:val="24"/>
              </w:rPr>
            </w:pPr>
            <w:r>
              <w:rPr>
                <w:rFonts w:hint="eastAsia" w:ascii="仿宋" w:hAnsi="仿宋" w:eastAsia="仿宋" w:cs="仿宋"/>
                <w:kern w:val="0"/>
                <w:sz w:val="18"/>
                <w:szCs w:val="18"/>
              </w:rPr>
              <w:drawing>
                <wp:inline distT="0" distB="0" distL="0" distR="0">
                  <wp:extent cx="748665" cy="897890"/>
                  <wp:effectExtent l="0" t="0" r="0" b="0"/>
                  <wp:docPr id="12" name="图片 12" descr="C:\Users\s10086\Desktop\正式规则\设计相关\配图\配图制作\Starter_02\Starter_01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10086\Desktop\正式规则\设计相关\配图\配图制作\Starter_02\Starter_01_00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63962" cy="916785"/>
                          </a:xfrm>
                          <a:prstGeom prst="rect">
                            <a:avLst/>
                          </a:prstGeom>
                          <a:noFill/>
                          <a:ln>
                            <a:noFill/>
                          </a:ln>
                        </pic:spPr>
                      </pic:pic>
                    </a:graphicData>
                  </a:graphic>
                </wp:inline>
              </w:drawing>
            </w:r>
          </w:p>
        </w:tc>
        <w:tc>
          <w:tcPr>
            <w:tcW w:w="3629" w:type="dxa"/>
          </w:tcPr>
          <w:p>
            <w:pPr>
              <w:pStyle w:val="30"/>
              <w:ind w:firstLine="0"/>
              <w:jc w:val="center"/>
              <w:rPr>
                <w:rFonts w:ascii="仿宋" w:hAnsi="仿宋" w:eastAsia="仿宋" w:cs="仿宋"/>
                <w:color w:val="auto"/>
                <w:szCs w:val="24"/>
              </w:rPr>
            </w:pPr>
            <w:r>
              <w:rPr>
                <w:rFonts w:hint="eastAsia" w:ascii="仿宋" w:hAnsi="仿宋" w:eastAsia="仿宋" w:cs="仿宋"/>
                <w:color w:val="auto"/>
                <w:szCs w:val="24"/>
              </w:rPr>
              <w:drawing>
                <wp:inline distT="0" distB="0" distL="0" distR="0">
                  <wp:extent cx="1284605" cy="9086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02506" cy="921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初始状态示意图</w:t>
            </w:r>
          </w:p>
        </w:tc>
        <w:tc>
          <w:tcPr>
            <w:tcW w:w="3402" w:type="dxa"/>
          </w:tcPr>
          <w:p>
            <w:pPr>
              <w:pStyle w:val="30"/>
              <w:ind w:firstLine="0"/>
              <w:jc w:val="center"/>
              <w:rPr>
                <w:rFonts w:ascii="仿宋" w:hAnsi="仿宋" w:eastAsia="仿宋" w:cs="仿宋"/>
                <w:color w:val="auto"/>
                <w:szCs w:val="24"/>
              </w:rPr>
            </w:pPr>
            <w:r>
              <w:rPr>
                <w:rFonts w:hint="eastAsia" w:ascii="仿宋" w:hAnsi="仿宋" w:eastAsia="仿宋" w:cs="仿宋"/>
              </w:rPr>
              <w:drawing>
                <wp:inline distT="0" distB="0" distL="0" distR="0">
                  <wp:extent cx="916305" cy="106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926699" cy="1078340"/>
                          </a:xfrm>
                          <a:prstGeom prst="rect">
                            <a:avLst/>
                          </a:prstGeom>
                        </pic:spPr>
                      </pic:pic>
                    </a:graphicData>
                  </a:graphic>
                </wp:inline>
              </w:drawing>
            </w:r>
          </w:p>
        </w:tc>
        <w:tc>
          <w:tcPr>
            <w:tcW w:w="3629" w:type="dxa"/>
          </w:tcPr>
          <w:p>
            <w:pPr>
              <w:pStyle w:val="30"/>
              <w:ind w:firstLine="0"/>
              <w:jc w:val="center"/>
              <w:rPr>
                <w:rFonts w:ascii="仿宋" w:hAnsi="仿宋" w:eastAsia="仿宋" w:cs="仿宋"/>
                <w:color w:val="auto"/>
                <w:szCs w:val="24"/>
              </w:rPr>
            </w:pPr>
            <w:r>
              <w:rPr>
                <w:rFonts w:hint="eastAsia" w:ascii="仿宋" w:hAnsi="仿宋" w:eastAsia="仿宋" w:cs="仿宋"/>
              </w:rPr>
              <w:drawing>
                <wp:inline distT="0" distB="0" distL="0" distR="0">
                  <wp:extent cx="959485" cy="10763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961903" cy="1078960"/>
                          </a:xfrm>
                          <a:prstGeom prst="rect">
                            <a:avLst/>
                          </a:prstGeom>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0" distR="0">
                  <wp:extent cx="953135" cy="10750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968998" cy="109336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w:t>
            </w:r>
          </w:p>
        </w:tc>
        <w:tc>
          <w:tcPr>
            <w:tcW w:w="3402" w:type="dxa"/>
          </w:tcPr>
          <w:p>
            <w:pPr>
              <w:pStyle w:val="30"/>
              <w:numPr>
                <w:ilvl w:val="0"/>
                <w:numId w:val="12"/>
              </w:numPr>
              <w:spacing w:line="420" w:lineRule="exact"/>
              <w:rPr>
                <w:rFonts w:ascii="仿宋" w:hAnsi="仿宋" w:eastAsia="仿宋" w:cs="仿宋"/>
                <w:color w:val="auto"/>
                <w:szCs w:val="24"/>
              </w:rPr>
            </w:pPr>
            <w:r>
              <w:rPr>
                <w:rFonts w:hint="eastAsia" w:ascii="仿宋" w:hAnsi="仿宋" w:eastAsia="仿宋" w:cs="仿宋"/>
                <w:color w:val="auto"/>
                <w:szCs w:val="24"/>
              </w:rPr>
              <w:t>底座完全进入圆形线框内；</w:t>
            </w:r>
          </w:p>
          <w:p>
            <w:pPr>
              <w:pStyle w:val="30"/>
              <w:numPr>
                <w:ilvl w:val="0"/>
                <w:numId w:val="12"/>
              </w:numPr>
              <w:spacing w:line="420" w:lineRule="exact"/>
              <w:rPr>
                <w:rFonts w:ascii="仿宋" w:hAnsi="仿宋" w:eastAsia="仿宋" w:cs="仿宋"/>
                <w:color w:val="auto"/>
                <w:szCs w:val="24"/>
              </w:rPr>
            </w:pPr>
            <w:r>
              <w:rPr>
                <w:rFonts w:hint="eastAsia" w:ascii="仿宋" w:hAnsi="仿宋" w:eastAsia="仿宋" w:cs="仿宋"/>
                <w:color w:val="auto"/>
                <w:szCs w:val="24"/>
              </w:rPr>
              <w:t>道具上部小球支架与下方线框平行（图中两条红线须平行）；</w:t>
            </w:r>
          </w:p>
          <w:p>
            <w:pPr>
              <w:pStyle w:val="30"/>
              <w:numPr>
                <w:ilvl w:val="0"/>
                <w:numId w:val="12"/>
              </w:numPr>
              <w:spacing w:line="420" w:lineRule="exact"/>
              <w:rPr>
                <w:rFonts w:ascii="仿宋" w:hAnsi="仿宋" w:eastAsia="仿宋" w:cs="仿宋"/>
                <w:color w:val="auto"/>
                <w:szCs w:val="24"/>
              </w:rPr>
            </w:pPr>
            <w:r>
              <w:rPr>
                <w:rFonts w:hint="eastAsia" w:ascii="仿宋" w:hAnsi="仿宋" w:eastAsia="仿宋" w:cs="仿宋"/>
                <w:color w:val="auto"/>
                <w:szCs w:val="24"/>
              </w:rPr>
              <w:t>道具上部放入2个红色/蓝色小球。</w:t>
            </w:r>
          </w:p>
          <w:p>
            <w:pPr>
              <w:pStyle w:val="30"/>
              <w:numPr>
                <w:ilvl w:val="0"/>
                <w:numId w:val="12"/>
              </w:numPr>
              <w:spacing w:line="420" w:lineRule="exact"/>
              <w:rPr>
                <w:rFonts w:ascii="仿宋" w:hAnsi="仿宋" w:eastAsia="仿宋" w:cs="仿宋"/>
                <w:color w:val="auto"/>
                <w:szCs w:val="24"/>
              </w:rPr>
            </w:pPr>
            <w:r>
              <w:rPr>
                <w:rFonts w:hint="eastAsia" w:ascii="仿宋" w:hAnsi="仿宋" w:eastAsia="仿宋" w:cs="仿宋"/>
                <w:color w:val="auto"/>
                <w:szCs w:val="24"/>
              </w:rPr>
              <w:t>不进行粘贴。</w:t>
            </w:r>
          </w:p>
        </w:tc>
        <w:tc>
          <w:tcPr>
            <w:tcW w:w="3629" w:type="dxa"/>
          </w:tcPr>
          <w:p>
            <w:pPr>
              <w:pStyle w:val="30"/>
              <w:numPr>
                <w:ilvl w:val="0"/>
                <w:numId w:val="13"/>
              </w:numPr>
              <w:spacing w:line="420" w:lineRule="exact"/>
              <w:rPr>
                <w:rFonts w:ascii="仿宋" w:hAnsi="仿宋" w:eastAsia="仿宋" w:cs="仿宋"/>
                <w:color w:val="auto"/>
                <w:szCs w:val="24"/>
              </w:rPr>
            </w:pPr>
            <w:r>
              <w:rPr>
                <w:rFonts w:hint="eastAsia" w:ascii="仿宋" w:hAnsi="仿宋" w:eastAsia="仿宋" w:cs="仿宋"/>
                <w:color w:val="auto"/>
                <w:szCs w:val="24"/>
              </w:rPr>
              <w:t>底部双孔梁完全进入长方形线框内，</w:t>
            </w:r>
            <w:r>
              <w:rPr>
                <w:rFonts w:hint="eastAsia" w:ascii="仿宋" w:hAnsi="仿宋" w:eastAsia="仿宋" w:cs="仿宋"/>
                <w:szCs w:val="24"/>
              </w:rPr>
              <w:t>并使用布基双面胶</w:t>
            </w:r>
            <w:r>
              <w:rPr>
                <w:rFonts w:hint="eastAsia" w:ascii="仿宋" w:hAnsi="仿宋" w:eastAsia="仿宋" w:cs="仿宋"/>
                <w:color w:val="auto"/>
                <w:szCs w:val="24"/>
              </w:rPr>
              <w:t>使其紧固在地图上；</w:t>
            </w:r>
          </w:p>
          <w:p>
            <w:pPr>
              <w:pStyle w:val="30"/>
              <w:numPr>
                <w:ilvl w:val="0"/>
                <w:numId w:val="13"/>
              </w:numPr>
              <w:spacing w:line="420" w:lineRule="exact"/>
              <w:rPr>
                <w:rFonts w:ascii="仿宋" w:hAnsi="仿宋" w:eastAsia="仿宋" w:cs="仿宋"/>
                <w:color w:val="auto"/>
                <w:szCs w:val="24"/>
              </w:rPr>
            </w:pPr>
            <w:r>
              <w:rPr>
                <w:rFonts w:hint="eastAsia" w:ascii="仿宋" w:hAnsi="仿宋" w:eastAsia="仿宋" w:cs="仿宋"/>
                <w:color w:val="auto"/>
                <w:szCs w:val="24"/>
              </w:rPr>
              <w:t>上部杠杆机构的触发方向朝向手动区域，如上图黄色箭头所示；</w:t>
            </w:r>
          </w:p>
          <w:p>
            <w:pPr>
              <w:pStyle w:val="30"/>
              <w:numPr>
                <w:ilvl w:val="0"/>
                <w:numId w:val="13"/>
              </w:numPr>
              <w:spacing w:line="420" w:lineRule="exact"/>
              <w:rPr>
                <w:rFonts w:ascii="仿宋" w:hAnsi="仿宋" w:eastAsia="仿宋" w:cs="仿宋"/>
                <w:color w:val="auto"/>
                <w:szCs w:val="24"/>
              </w:rPr>
            </w:pPr>
            <w:r>
              <w:rPr>
                <w:rFonts w:hint="eastAsia" w:ascii="仿宋" w:hAnsi="仿宋" w:eastAsia="仿宋" w:cs="仿宋"/>
                <w:color w:val="auto"/>
                <w:szCs w:val="24"/>
              </w:rPr>
              <w:t>道具上部放入2个红色/蓝色小球。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任务目标</w:t>
            </w:r>
          </w:p>
        </w:tc>
        <w:tc>
          <w:tcPr>
            <w:tcW w:w="7031" w:type="dxa"/>
            <w:gridSpan w:val="2"/>
          </w:tcPr>
          <w:p>
            <w:pPr>
              <w:pStyle w:val="30"/>
              <w:spacing w:line="420" w:lineRule="exact"/>
              <w:ind w:firstLine="0"/>
              <w:rPr>
                <w:rFonts w:ascii="仿宋" w:hAnsi="仿宋" w:eastAsia="仿宋" w:cs="仿宋"/>
                <w:color w:val="auto"/>
                <w:szCs w:val="24"/>
              </w:rPr>
            </w:pPr>
            <w:r>
              <w:rPr>
                <w:rFonts w:hint="eastAsia" w:ascii="仿宋" w:hAnsi="仿宋" w:eastAsia="仿宋" w:cs="仿宋"/>
                <w:color w:val="auto"/>
                <w:szCs w:val="24"/>
              </w:rPr>
              <w:t>机器人运行自动程序使红、蓝色小球掉入比赛场地。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任务得分</w:t>
            </w:r>
          </w:p>
        </w:tc>
        <w:tc>
          <w:tcPr>
            <w:tcW w:w="7031" w:type="dxa"/>
            <w:gridSpan w:val="2"/>
          </w:tcPr>
          <w:p>
            <w:pPr>
              <w:pStyle w:val="30"/>
              <w:tabs>
                <w:tab w:val="left" w:pos="870"/>
              </w:tabs>
              <w:spacing w:line="420" w:lineRule="exact"/>
              <w:ind w:firstLine="0"/>
              <w:rPr>
                <w:rFonts w:ascii="仿宋" w:hAnsi="仿宋" w:eastAsia="仿宋" w:cs="仿宋"/>
                <w:color w:val="auto"/>
                <w:szCs w:val="24"/>
              </w:rPr>
            </w:pPr>
            <w:r>
              <w:rPr>
                <w:rFonts w:hint="eastAsia" w:ascii="仿宋" w:hAnsi="仿宋" w:eastAsia="仿宋" w:cs="仿宋"/>
              </w:rPr>
              <w:t>两个红色/蓝色小球，每个小球20分。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得分判定</w:t>
            </w:r>
          </w:p>
        </w:tc>
        <w:tc>
          <w:tcPr>
            <w:tcW w:w="7031" w:type="dxa"/>
            <w:gridSpan w:val="2"/>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自动控制阶段结束后，红色/蓝色小球接触比赛场地，包括地图（自动区和手动区）、赛台、赛台边框内侧或上表面），不包括机器人以及赛台边框外的桌面、地面等。</w:t>
            </w:r>
          </w:p>
        </w:tc>
      </w:tr>
    </w:tbl>
    <w:p>
      <w:pPr>
        <w:pStyle w:val="30"/>
        <w:spacing w:line="420" w:lineRule="exact"/>
        <w:ind w:firstLine="0"/>
        <w:rPr>
          <w:rFonts w:ascii="仿宋" w:hAnsi="仿宋" w:eastAsia="仿宋" w:cs="仿宋"/>
          <w:color w:val="auto"/>
          <w:szCs w:val="24"/>
        </w:rPr>
      </w:pPr>
    </w:p>
    <w:p>
      <w:pPr>
        <w:pStyle w:val="30"/>
        <w:spacing w:line="420" w:lineRule="exact"/>
        <w:rPr>
          <w:rFonts w:ascii="仿宋" w:hAnsi="仿宋" w:eastAsia="仿宋" w:cs="仿宋"/>
          <w:color w:val="auto"/>
          <w:szCs w:val="24"/>
        </w:rPr>
      </w:pPr>
      <w:r>
        <w:rPr>
          <w:rFonts w:hint="eastAsia" w:ascii="仿宋" w:hAnsi="仿宋" w:eastAsia="仿宋" w:cs="仿宋"/>
          <w:color w:val="auto"/>
          <w:szCs w:val="24"/>
        </w:rPr>
        <w:t>M03 旋转雷达及M04 打开门型开关任务摆放位置相同。红蓝双方在比赛中要完成的任务将在比赛开始前由组委会决定并公布。基本介绍如下：</w:t>
      </w:r>
    </w:p>
    <w:tbl>
      <w:tblPr>
        <w:tblStyle w:val="18"/>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544"/>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64"/>
              <w:spacing w:line="420" w:lineRule="exact"/>
              <w:jc w:val="center"/>
              <w:rPr>
                <w:rFonts w:ascii="仿宋" w:hAnsi="仿宋" w:eastAsia="仿宋" w:cs="仿宋"/>
              </w:rPr>
            </w:pPr>
            <w:r>
              <w:rPr>
                <w:rFonts w:hint="eastAsia" w:ascii="仿宋" w:hAnsi="仿宋" w:eastAsia="仿宋" w:cs="仿宋"/>
              </w:rPr>
              <w:t>独立任务</w:t>
            </w:r>
          </w:p>
        </w:tc>
        <w:tc>
          <w:tcPr>
            <w:tcW w:w="3544"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M03旋转雷达</w:t>
            </w:r>
          </w:p>
        </w:tc>
        <w:tc>
          <w:tcPr>
            <w:tcW w:w="3487"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M04打开门型开关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任务背景</w:t>
            </w:r>
          </w:p>
        </w:tc>
        <w:tc>
          <w:tcPr>
            <w:tcW w:w="3544"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城市中的雷达需要进行例行维护，机器人需要前往该地对雷达进行维护并上传雷达收集到的数据。</w:t>
            </w:r>
          </w:p>
        </w:tc>
        <w:tc>
          <w:tcPr>
            <w:tcW w:w="3487"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城市数据传输节点会累积大量的冗余数据，机器人需定期进行重启，并上传最新的运行数据。</w:t>
            </w:r>
          </w:p>
          <w:p>
            <w:pPr>
              <w:pStyle w:val="30"/>
              <w:spacing w:line="420" w:lineRule="exact"/>
              <w:ind w:firstLine="0"/>
              <w:rPr>
                <w:rFonts w:ascii="仿宋" w:hAnsi="仿宋" w:eastAsia="仿宋" w:cs="仿宋"/>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道具放置示意图</w:t>
            </w:r>
          </w:p>
        </w:tc>
        <w:tc>
          <w:tcPr>
            <w:tcW w:w="3544" w:type="dxa"/>
          </w:tcPr>
          <w:p>
            <w:pPr>
              <w:pStyle w:val="30"/>
              <w:ind w:firstLine="0"/>
              <w:jc w:val="center"/>
              <w:rPr>
                <w:rFonts w:ascii="仿宋" w:hAnsi="仿宋" w:eastAsia="仿宋" w:cs="仿宋"/>
                <w:color w:val="auto"/>
                <w:szCs w:val="24"/>
              </w:rPr>
            </w:pPr>
            <w:r>
              <w:rPr>
                <w:rFonts w:hint="eastAsia" w:ascii="仿宋" w:hAnsi="仿宋" w:eastAsia="仿宋" w:cs="仿宋"/>
                <w:sz w:val="21"/>
                <w:szCs w:val="18"/>
              </w:rPr>
              <w:drawing>
                <wp:inline distT="0" distB="0" distL="0" distR="0">
                  <wp:extent cx="1692910" cy="951865"/>
                  <wp:effectExtent l="0" t="0" r="0" b="0"/>
                  <wp:docPr id="125" name="图片 125" descr="C:\Users\s10086\Desktop\正式规则\设计相关\配图\配图制作\Starter_02\Starter_01_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s10086\Desktop\正式规则\设计相关\配图\配图制作\Starter_02\Starter_01_00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95154" cy="953488"/>
                          </a:xfrm>
                          <a:prstGeom prst="rect">
                            <a:avLst/>
                          </a:prstGeom>
                          <a:noFill/>
                          <a:ln>
                            <a:noFill/>
                          </a:ln>
                        </pic:spPr>
                      </pic:pic>
                    </a:graphicData>
                  </a:graphic>
                </wp:inline>
              </w:drawing>
            </w:r>
          </w:p>
        </w:tc>
        <w:tc>
          <w:tcPr>
            <w:tcW w:w="3487" w:type="dxa"/>
          </w:tcPr>
          <w:p>
            <w:pPr>
              <w:pStyle w:val="30"/>
              <w:ind w:firstLine="0"/>
              <w:jc w:val="center"/>
              <w:rPr>
                <w:rFonts w:ascii="仿宋" w:hAnsi="仿宋" w:eastAsia="仿宋" w:cs="仿宋"/>
                <w:color w:val="auto"/>
                <w:szCs w:val="24"/>
              </w:rPr>
            </w:pPr>
            <w:r>
              <w:rPr>
                <w:rFonts w:hint="eastAsia" w:ascii="仿宋" w:hAnsi="仿宋" w:eastAsia="仿宋" w:cs="仿宋"/>
                <w:kern w:val="0"/>
                <w:sz w:val="18"/>
                <w:szCs w:val="18"/>
              </w:rPr>
              <w:drawing>
                <wp:inline distT="0" distB="0" distL="0" distR="0">
                  <wp:extent cx="867410" cy="867410"/>
                  <wp:effectExtent l="0" t="0" r="0" b="0"/>
                  <wp:docPr id="159" name="图片 159" descr="C:\Users\s10086\Desktop\正式规则\设计相关\配图\配图制作\Starter_02\Starter_01_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s10086\Desktop\正式规则\设计相关\配图\配图制作\Starter_02\Starter_01_002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70499" cy="87049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初始状态示意图</w:t>
            </w:r>
          </w:p>
        </w:tc>
        <w:tc>
          <w:tcPr>
            <w:tcW w:w="3544" w:type="dxa"/>
          </w:tcPr>
          <w:p>
            <w:pPr>
              <w:pStyle w:val="30"/>
              <w:ind w:firstLine="0"/>
              <w:jc w:val="center"/>
              <w:rPr>
                <w:rFonts w:ascii="仿宋" w:hAnsi="仿宋" w:eastAsia="仿宋" w:cs="仿宋"/>
                <w:color w:val="auto"/>
                <w:szCs w:val="24"/>
              </w:rPr>
            </w:pPr>
            <w:r>
              <w:rPr>
                <w:rFonts w:hint="eastAsia" w:ascii="仿宋" w:hAnsi="仿宋" w:eastAsia="仿宋" w:cs="仿宋"/>
              </w:rPr>
              <w:drawing>
                <wp:inline distT="0" distB="0" distL="0" distR="0">
                  <wp:extent cx="932180" cy="101219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943254" cy="1024289"/>
                          </a:xfrm>
                          <a:prstGeom prst="rect">
                            <a:avLst/>
                          </a:prstGeom>
                        </pic:spPr>
                      </pic:pic>
                    </a:graphicData>
                  </a:graphic>
                </wp:inline>
              </w:drawing>
            </w:r>
            <w:r>
              <w:rPr>
                <w:rFonts w:hint="eastAsia" w:ascii="仿宋" w:hAnsi="仿宋" w:eastAsia="仿宋" w:cs="仿宋"/>
                <w:color w:val="auto"/>
                <w:szCs w:val="24"/>
              </w:rPr>
              <w:t xml:space="preserve"> </w:t>
            </w:r>
            <w:r>
              <w:rPr>
                <w:rFonts w:hint="eastAsia" w:ascii="仿宋" w:hAnsi="仿宋" w:eastAsia="仿宋" w:cs="仿宋"/>
              </w:rPr>
              <w:drawing>
                <wp:inline distT="0" distB="0" distL="0" distR="0">
                  <wp:extent cx="952500" cy="10166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966065" cy="1031341"/>
                          </a:xfrm>
                          <a:prstGeom prst="rect">
                            <a:avLst/>
                          </a:prstGeom>
                        </pic:spPr>
                      </pic:pic>
                    </a:graphicData>
                  </a:graphic>
                </wp:inline>
              </w:drawing>
            </w:r>
          </w:p>
        </w:tc>
        <w:tc>
          <w:tcPr>
            <w:tcW w:w="3487" w:type="dxa"/>
            <w:vAlign w:val="center"/>
          </w:tcPr>
          <w:p>
            <w:pPr>
              <w:pStyle w:val="30"/>
              <w:ind w:firstLine="0"/>
              <w:jc w:val="center"/>
              <w:rPr>
                <w:rFonts w:ascii="仿宋" w:hAnsi="仿宋" w:eastAsia="仿宋" w:cs="仿宋"/>
                <w:color w:val="auto"/>
                <w:szCs w:val="24"/>
              </w:rPr>
            </w:pPr>
            <w:r>
              <w:rPr>
                <w:rFonts w:hint="eastAsia" w:ascii="仿宋" w:hAnsi="仿宋" w:eastAsia="仿宋" w:cs="仿宋"/>
              </w:rPr>
              <w:drawing>
                <wp:inline distT="0" distB="0" distL="0" distR="0">
                  <wp:extent cx="1270000" cy="771525"/>
                  <wp:effectExtent l="0" t="0" r="635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7"/>
                          <a:stretch>
                            <a:fillRect/>
                          </a:stretch>
                        </pic:blipFill>
                        <pic:spPr>
                          <a:xfrm>
                            <a:off x="0" y="0"/>
                            <a:ext cx="1279809" cy="777710"/>
                          </a:xfrm>
                          <a:prstGeom prst="rect">
                            <a:avLst/>
                          </a:prstGeom>
                        </pic:spPr>
                      </pic:pic>
                    </a:graphicData>
                  </a:graphic>
                </wp:inline>
              </w:drawing>
            </w:r>
            <w:r>
              <w:rPr>
                <w:rFonts w:hint="eastAsia" w:ascii="仿宋" w:hAnsi="仿宋" w:eastAsia="仿宋" w:cs="仿宋"/>
                <w:color w:val="auto"/>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w:t>
            </w:r>
          </w:p>
        </w:tc>
        <w:tc>
          <w:tcPr>
            <w:tcW w:w="3544" w:type="dxa"/>
          </w:tcPr>
          <w:p>
            <w:pPr>
              <w:pStyle w:val="30"/>
              <w:numPr>
                <w:ilvl w:val="0"/>
                <w:numId w:val="14"/>
              </w:numPr>
              <w:spacing w:line="420" w:lineRule="exact"/>
              <w:rPr>
                <w:rFonts w:ascii="仿宋" w:hAnsi="仿宋" w:eastAsia="仿宋" w:cs="仿宋"/>
                <w:color w:val="auto"/>
                <w:szCs w:val="24"/>
              </w:rPr>
            </w:pPr>
            <w:r>
              <w:rPr>
                <w:rFonts w:hint="eastAsia" w:ascii="仿宋" w:hAnsi="仿宋" w:eastAsia="仿宋" w:cs="仿宋"/>
                <w:color w:val="auto"/>
                <w:szCs w:val="24"/>
              </w:rPr>
              <w:t>底部双孔梁完全进入矩形线框，并使用双面胶固定，使其紧固在地图上；</w:t>
            </w:r>
          </w:p>
          <w:p>
            <w:pPr>
              <w:pStyle w:val="30"/>
              <w:numPr>
                <w:ilvl w:val="0"/>
                <w:numId w:val="14"/>
              </w:numPr>
              <w:spacing w:line="420" w:lineRule="exact"/>
              <w:rPr>
                <w:rFonts w:ascii="仿宋" w:hAnsi="仿宋" w:eastAsia="仿宋" w:cs="仿宋"/>
                <w:color w:val="auto"/>
                <w:szCs w:val="24"/>
              </w:rPr>
            </w:pPr>
            <w:r>
              <w:rPr>
                <w:rFonts w:hint="eastAsia" w:ascii="仿宋" w:hAnsi="仿宋" w:eastAsia="仿宋" w:cs="仿宋"/>
                <w:color w:val="auto"/>
                <w:szCs w:val="24"/>
              </w:rPr>
              <w:t>旋转部分中心一端朝向任务M08（自动区绿色部分），如上图中红色箭头所示；</w:t>
            </w:r>
          </w:p>
          <w:p>
            <w:pPr>
              <w:pStyle w:val="30"/>
              <w:numPr>
                <w:ilvl w:val="0"/>
                <w:numId w:val="14"/>
              </w:numPr>
              <w:spacing w:line="420" w:lineRule="exact"/>
              <w:rPr>
                <w:rFonts w:ascii="仿宋" w:hAnsi="仿宋" w:eastAsia="仿宋" w:cs="仿宋"/>
                <w:color w:val="auto"/>
                <w:szCs w:val="24"/>
              </w:rPr>
            </w:pPr>
            <w:r>
              <w:rPr>
                <w:rFonts w:hint="eastAsia" w:ascii="仿宋" w:hAnsi="仿宋" w:eastAsia="仿宋" w:cs="仿宋"/>
                <w:color w:val="auto"/>
                <w:szCs w:val="24"/>
              </w:rPr>
              <w:t>斜坡部分朝向手动区，如上图中黄色箭头所示；</w:t>
            </w:r>
          </w:p>
          <w:p>
            <w:pPr>
              <w:pStyle w:val="30"/>
              <w:numPr>
                <w:ilvl w:val="0"/>
                <w:numId w:val="14"/>
              </w:numPr>
              <w:spacing w:line="420" w:lineRule="exact"/>
              <w:rPr>
                <w:rFonts w:ascii="仿宋" w:hAnsi="仿宋" w:eastAsia="仿宋" w:cs="仿宋"/>
                <w:color w:val="auto"/>
                <w:szCs w:val="24"/>
              </w:rPr>
            </w:pPr>
            <w:r>
              <w:rPr>
                <w:rFonts w:hint="eastAsia" w:ascii="仿宋" w:hAnsi="仿宋" w:eastAsia="仿宋" w:cs="仿宋"/>
                <w:color w:val="auto"/>
                <w:szCs w:val="24"/>
              </w:rPr>
              <w:t>底部双孔梁与旋转部分呈90°；</w:t>
            </w:r>
          </w:p>
          <w:p>
            <w:pPr>
              <w:pStyle w:val="30"/>
              <w:numPr>
                <w:ilvl w:val="0"/>
                <w:numId w:val="14"/>
              </w:numPr>
              <w:spacing w:line="420" w:lineRule="exact"/>
              <w:rPr>
                <w:rFonts w:ascii="仿宋" w:hAnsi="仿宋" w:eastAsia="仿宋" w:cs="仿宋"/>
                <w:color w:val="auto"/>
                <w:szCs w:val="24"/>
              </w:rPr>
            </w:pPr>
            <w:r>
              <w:rPr>
                <w:rFonts w:hint="eastAsia" w:ascii="仿宋" w:hAnsi="仿宋" w:eastAsia="仿宋" w:cs="仿宋"/>
                <w:color w:val="auto"/>
                <w:szCs w:val="24"/>
              </w:rPr>
              <w:t>道具旋转部分放入2个红色、蓝色小球。</w:t>
            </w:r>
          </w:p>
        </w:tc>
        <w:tc>
          <w:tcPr>
            <w:tcW w:w="3487" w:type="dxa"/>
          </w:tcPr>
          <w:p>
            <w:pPr>
              <w:pStyle w:val="30"/>
              <w:numPr>
                <w:ilvl w:val="0"/>
                <w:numId w:val="15"/>
              </w:numPr>
              <w:spacing w:line="420" w:lineRule="exact"/>
              <w:rPr>
                <w:rFonts w:ascii="仿宋" w:hAnsi="仿宋" w:eastAsia="仿宋" w:cs="仿宋"/>
                <w:color w:val="auto"/>
                <w:szCs w:val="24"/>
              </w:rPr>
            </w:pPr>
            <w:r>
              <w:rPr>
                <w:rFonts w:hint="eastAsia" w:ascii="仿宋" w:hAnsi="仿宋" w:eastAsia="仿宋" w:cs="仿宋"/>
                <w:color w:val="auto"/>
                <w:szCs w:val="24"/>
              </w:rPr>
              <w:t xml:space="preserve">底部完全进入矩形线框内； </w:t>
            </w:r>
          </w:p>
          <w:p>
            <w:pPr>
              <w:pStyle w:val="30"/>
              <w:numPr>
                <w:ilvl w:val="0"/>
                <w:numId w:val="15"/>
              </w:numPr>
              <w:spacing w:line="420" w:lineRule="exact"/>
              <w:rPr>
                <w:rFonts w:ascii="仿宋" w:hAnsi="仿宋" w:eastAsia="仿宋" w:cs="仿宋"/>
                <w:color w:val="auto"/>
                <w:szCs w:val="24"/>
              </w:rPr>
            </w:pPr>
            <w:r>
              <w:rPr>
                <w:rFonts w:hint="eastAsia" w:ascii="仿宋" w:hAnsi="仿宋" w:eastAsia="仿宋" w:cs="仿宋"/>
                <w:color w:val="auto"/>
                <w:szCs w:val="24"/>
              </w:rPr>
              <w:t>不进行粘贴。</w:t>
            </w:r>
          </w:p>
          <w:p>
            <w:pPr>
              <w:pStyle w:val="30"/>
              <w:numPr>
                <w:ilvl w:val="0"/>
                <w:numId w:val="15"/>
              </w:numPr>
              <w:spacing w:line="420" w:lineRule="exact"/>
              <w:rPr>
                <w:rFonts w:ascii="仿宋" w:hAnsi="仿宋" w:eastAsia="仿宋" w:cs="仿宋"/>
                <w:color w:val="auto"/>
                <w:szCs w:val="24"/>
              </w:rPr>
            </w:pPr>
            <w:r>
              <w:rPr>
                <w:rFonts w:hint="eastAsia" w:ascii="仿宋" w:hAnsi="仿宋" w:eastAsia="仿宋" w:cs="仿宋"/>
                <w:color w:val="auto"/>
                <w:szCs w:val="24"/>
              </w:rPr>
              <w:t>道具上部放入2个红色/蓝色小球；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任务目标</w:t>
            </w:r>
          </w:p>
        </w:tc>
        <w:tc>
          <w:tcPr>
            <w:tcW w:w="7031" w:type="dxa"/>
            <w:gridSpan w:val="2"/>
          </w:tcPr>
          <w:p>
            <w:pPr>
              <w:pStyle w:val="30"/>
              <w:spacing w:line="420" w:lineRule="exact"/>
              <w:ind w:firstLine="0"/>
              <w:rPr>
                <w:rFonts w:ascii="仿宋" w:hAnsi="仿宋" w:eastAsia="仿宋" w:cs="仿宋"/>
                <w:color w:val="auto"/>
                <w:szCs w:val="24"/>
              </w:rPr>
            </w:pPr>
            <w:r>
              <w:rPr>
                <w:rFonts w:hint="eastAsia" w:ascii="仿宋" w:hAnsi="仿宋" w:eastAsia="仿宋" w:cs="仿宋"/>
                <w:color w:val="auto"/>
                <w:szCs w:val="24"/>
              </w:rPr>
              <w:t>机器人运行自动程序使红、蓝色小球掉入比赛场地。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任务得分</w:t>
            </w:r>
          </w:p>
        </w:tc>
        <w:tc>
          <w:tcPr>
            <w:tcW w:w="7031" w:type="dxa"/>
            <w:gridSpan w:val="2"/>
          </w:tcPr>
          <w:p>
            <w:pPr>
              <w:pStyle w:val="30"/>
              <w:tabs>
                <w:tab w:val="left" w:pos="870"/>
              </w:tabs>
              <w:spacing w:line="420" w:lineRule="exact"/>
              <w:ind w:firstLine="0"/>
              <w:rPr>
                <w:rFonts w:ascii="仿宋" w:hAnsi="仿宋" w:eastAsia="仿宋" w:cs="仿宋"/>
                <w:color w:val="auto"/>
                <w:szCs w:val="24"/>
              </w:rPr>
            </w:pPr>
            <w:r>
              <w:rPr>
                <w:rFonts w:hint="eastAsia" w:ascii="仿宋" w:hAnsi="仿宋" w:eastAsia="仿宋" w:cs="仿宋"/>
              </w:rPr>
              <w:t>两个红色/蓝色小球，每个小球20分。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得分判定</w:t>
            </w:r>
          </w:p>
        </w:tc>
        <w:tc>
          <w:tcPr>
            <w:tcW w:w="7031" w:type="dxa"/>
            <w:gridSpan w:val="2"/>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自动控制阶段结束后，红色/蓝色小球接触比赛场地，包括地图（自动区和手动区）、赛台、赛台边框内侧或上表面），不包括机器人以及赛台边框外的桌面、地面等。</w:t>
            </w:r>
          </w:p>
        </w:tc>
      </w:tr>
    </w:tbl>
    <w:tbl>
      <w:tblPr>
        <w:tblStyle w:val="18"/>
        <w:tblpPr w:leftFromText="180" w:rightFromText="180" w:vertAnchor="text" w:tblpY="101"/>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515"/>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64"/>
              <w:spacing w:line="420" w:lineRule="exact"/>
              <w:jc w:val="center"/>
              <w:rPr>
                <w:rFonts w:ascii="仿宋" w:hAnsi="仿宋" w:eastAsia="仿宋" w:cs="仿宋"/>
              </w:rPr>
            </w:pPr>
            <w:r>
              <w:rPr>
                <w:rFonts w:hint="eastAsia" w:ascii="仿宋" w:hAnsi="仿宋" w:eastAsia="仿宋" w:cs="仿宋"/>
              </w:rPr>
              <w:t>独立任务</w:t>
            </w:r>
          </w:p>
        </w:tc>
        <w:tc>
          <w:tcPr>
            <w:tcW w:w="7031" w:type="dxa"/>
            <w:gridSpan w:val="2"/>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M05识别障碍物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任务背景</w:t>
            </w:r>
          </w:p>
        </w:tc>
        <w:tc>
          <w:tcPr>
            <w:tcW w:w="7031" w:type="dxa"/>
            <w:gridSpan w:val="2"/>
          </w:tcPr>
          <w:p>
            <w:pPr>
              <w:pStyle w:val="30"/>
              <w:spacing w:line="420" w:lineRule="exact"/>
              <w:ind w:firstLine="0"/>
              <w:rPr>
                <w:rFonts w:ascii="仿宋" w:hAnsi="仿宋" w:eastAsia="仿宋" w:cs="仿宋"/>
                <w:color w:val="auto"/>
              </w:rPr>
            </w:pPr>
            <w:r>
              <w:rPr>
                <w:rFonts w:hint="eastAsia" w:ascii="仿宋" w:hAnsi="仿宋" w:eastAsia="仿宋" w:cs="仿宋"/>
                <w:color w:val="auto"/>
              </w:rPr>
              <w:t>机器人作为智能交通的重要组成部分，识别障碍物进行规避或清扫是基本功能。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道具放置示意图</w:t>
            </w:r>
          </w:p>
        </w:tc>
        <w:tc>
          <w:tcPr>
            <w:tcW w:w="7031" w:type="dxa"/>
            <w:gridSpan w:val="2"/>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3600450" cy="174117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8"/>
                          <a:stretch>
                            <a:fillRect/>
                          </a:stretch>
                        </pic:blipFill>
                        <pic:spPr>
                          <a:xfrm>
                            <a:off x="0" y="0"/>
                            <a:ext cx="3619483" cy="1750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初始状态示意图</w:t>
            </w:r>
          </w:p>
        </w:tc>
        <w:tc>
          <w:tcPr>
            <w:tcW w:w="3515" w:type="dxa"/>
          </w:tcPr>
          <w:p>
            <w:pPr>
              <w:pStyle w:val="30"/>
              <w:ind w:firstLine="0"/>
              <w:jc w:val="center"/>
              <w:rPr>
                <w:rFonts w:ascii="仿宋" w:hAnsi="仿宋" w:eastAsia="仿宋" w:cs="仿宋"/>
                <w:color w:val="auto"/>
                <w:szCs w:val="24"/>
              </w:rPr>
            </w:pPr>
            <w:r>
              <w:rPr>
                <w:rFonts w:hint="eastAsia" w:ascii="仿宋" w:hAnsi="仿宋" w:eastAsia="仿宋" w:cs="仿宋"/>
              </w:rPr>
              <w:drawing>
                <wp:inline distT="0" distB="0" distL="0" distR="0">
                  <wp:extent cx="695325" cy="848995"/>
                  <wp:effectExtent l="0" t="0" r="0" b="825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9"/>
                          <a:stretch>
                            <a:fillRect/>
                          </a:stretch>
                        </pic:blipFill>
                        <pic:spPr>
                          <a:xfrm>
                            <a:off x="0" y="0"/>
                            <a:ext cx="703642" cy="859465"/>
                          </a:xfrm>
                          <a:prstGeom prst="rect">
                            <a:avLst/>
                          </a:prstGeom>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0" distR="0">
                  <wp:extent cx="753110" cy="857250"/>
                  <wp:effectExtent l="0" t="0" r="889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0"/>
                          <a:stretch>
                            <a:fillRect/>
                          </a:stretch>
                        </pic:blipFill>
                        <pic:spPr>
                          <a:xfrm>
                            <a:off x="0" y="0"/>
                            <a:ext cx="767151" cy="872965"/>
                          </a:xfrm>
                          <a:prstGeom prst="rect">
                            <a:avLst/>
                          </a:prstGeom>
                        </pic:spPr>
                      </pic:pic>
                    </a:graphicData>
                  </a:graphic>
                </wp:inline>
              </w:drawing>
            </w:r>
          </w:p>
        </w:tc>
        <w:tc>
          <w:tcPr>
            <w:tcW w:w="3516" w:type="dxa"/>
          </w:tcPr>
          <w:p>
            <w:pPr>
              <w:pStyle w:val="30"/>
              <w:ind w:firstLine="0"/>
              <w:jc w:val="center"/>
              <w:rPr>
                <w:rFonts w:ascii="仿宋" w:hAnsi="仿宋" w:eastAsia="仿宋" w:cs="仿宋"/>
                <w:color w:val="auto"/>
                <w:szCs w:val="24"/>
              </w:rPr>
            </w:pPr>
            <w:r>
              <w:rPr>
                <w:rFonts w:hint="eastAsia" w:ascii="仿宋" w:hAnsi="仿宋" w:eastAsia="仿宋" w:cs="仿宋"/>
              </w:rPr>
              <w:drawing>
                <wp:inline distT="0" distB="0" distL="0" distR="0">
                  <wp:extent cx="726440" cy="9207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1"/>
                          <a:stretch>
                            <a:fillRect/>
                          </a:stretch>
                        </pic:blipFill>
                        <pic:spPr>
                          <a:xfrm>
                            <a:off x="0" y="0"/>
                            <a:ext cx="738375" cy="935727"/>
                          </a:xfrm>
                          <a:prstGeom prst="rect">
                            <a:avLst/>
                          </a:prstGeom>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0" distR="0">
                  <wp:extent cx="724535" cy="9239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2"/>
                          <a:stretch>
                            <a:fillRect/>
                          </a:stretch>
                        </pic:blipFill>
                        <pic:spPr>
                          <a:xfrm>
                            <a:off x="0" y="0"/>
                            <a:ext cx="737462" cy="93983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w:t>
            </w:r>
          </w:p>
        </w:tc>
        <w:tc>
          <w:tcPr>
            <w:tcW w:w="7031" w:type="dxa"/>
            <w:gridSpan w:val="2"/>
          </w:tcPr>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auto"/>
                <w:szCs w:val="24"/>
              </w:rPr>
              <w:t>两个方块叠成两层，完全进入方形线框内。</w:t>
            </w:r>
          </w:p>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auto"/>
                <w:szCs w:val="24"/>
              </w:rPr>
              <w:t xml:space="preserve">圆柱体底面完全进入圆形线框内。 </w:t>
            </w:r>
          </w:p>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00B0F0"/>
                <w:szCs w:val="24"/>
              </w:rPr>
              <w:t>蓝方</w:t>
            </w:r>
            <w:r>
              <w:rPr>
                <w:rFonts w:hint="eastAsia" w:ascii="仿宋" w:hAnsi="仿宋" w:eastAsia="仿宋" w:cs="仿宋"/>
                <w:color w:val="auto"/>
                <w:szCs w:val="24"/>
              </w:rPr>
              <w:t>使用</w:t>
            </w:r>
            <w:r>
              <w:rPr>
                <w:rFonts w:hint="eastAsia" w:ascii="仿宋" w:hAnsi="仿宋" w:eastAsia="仿宋" w:cs="仿宋"/>
                <w:color w:val="FF0000"/>
                <w:szCs w:val="24"/>
              </w:rPr>
              <w:t>红色</w:t>
            </w:r>
            <w:r>
              <w:rPr>
                <w:rFonts w:hint="eastAsia" w:ascii="仿宋" w:hAnsi="仿宋" w:eastAsia="仿宋" w:cs="仿宋"/>
                <w:color w:val="auto"/>
                <w:szCs w:val="24"/>
              </w:rPr>
              <w:t>圆柱体，</w:t>
            </w:r>
            <w:r>
              <w:rPr>
                <w:rFonts w:hint="eastAsia" w:ascii="仿宋" w:hAnsi="仿宋" w:eastAsia="仿宋" w:cs="仿宋"/>
                <w:color w:val="FF0000"/>
                <w:szCs w:val="24"/>
              </w:rPr>
              <w:t>红方</w:t>
            </w:r>
            <w:r>
              <w:rPr>
                <w:rFonts w:hint="eastAsia" w:ascii="仿宋" w:hAnsi="仿宋" w:eastAsia="仿宋" w:cs="仿宋"/>
                <w:color w:val="auto"/>
                <w:szCs w:val="24"/>
              </w:rPr>
              <w:t>使用</w:t>
            </w:r>
            <w:r>
              <w:rPr>
                <w:rFonts w:hint="eastAsia" w:ascii="仿宋" w:hAnsi="仿宋" w:eastAsia="仿宋" w:cs="仿宋"/>
                <w:color w:val="00B0F0"/>
                <w:szCs w:val="24"/>
              </w:rPr>
              <w:t>蓝色</w:t>
            </w:r>
            <w:r>
              <w:rPr>
                <w:rFonts w:hint="eastAsia" w:ascii="仿宋" w:hAnsi="仿宋" w:eastAsia="仿宋" w:cs="仿宋"/>
                <w:color w:val="auto"/>
                <w:szCs w:val="24"/>
              </w:rPr>
              <w:t>圆柱体。</w:t>
            </w:r>
          </w:p>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auto"/>
                <w:szCs w:val="24"/>
              </w:rPr>
              <w:t>单场比赛前，在每方三个位置中（蓝方：A、B、C，红方：D、E、F ）以道具卡的形式抽取两个位置摆放道具。</w:t>
            </w:r>
          </w:p>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auto"/>
                <w:szCs w:val="24"/>
              </w:rPr>
              <w:t>每个位置摆放的道具可能是方块或圆柱。</w:t>
            </w:r>
          </w:p>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auto"/>
                <w:szCs w:val="24"/>
              </w:rPr>
              <w:t>红蓝双方的方块、圆柱摆放位置可能会不一致。</w:t>
            </w:r>
          </w:p>
          <w:p>
            <w:pPr>
              <w:pStyle w:val="30"/>
              <w:numPr>
                <w:ilvl w:val="0"/>
                <w:numId w:val="16"/>
              </w:numPr>
              <w:spacing w:line="420" w:lineRule="exact"/>
              <w:rPr>
                <w:rFonts w:ascii="仿宋" w:hAnsi="仿宋" w:eastAsia="仿宋" w:cs="仿宋"/>
                <w:color w:val="auto"/>
                <w:szCs w:val="24"/>
              </w:rPr>
            </w:pPr>
            <w:r>
              <w:rPr>
                <w:rFonts w:hint="eastAsia" w:ascii="仿宋" w:hAnsi="仿宋" w:eastAsia="仿宋" w:cs="仿宋"/>
                <w:color w:val="auto"/>
                <w:szCs w:val="24"/>
              </w:rPr>
              <w:t>实际比赛中可能存在都是方块或都是圆柱的情况，由于方块和圆柱的单个分值一样且每方该任务道具的总数为2，将不会影响比赛分数的上限。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任务目标</w:t>
            </w:r>
          </w:p>
        </w:tc>
        <w:tc>
          <w:tcPr>
            <w:tcW w:w="7031" w:type="dxa"/>
            <w:gridSpan w:val="2"/>
          </w:tcPr>
          <w:p>
            <w:pPr>
              <w:pStyle w:val="30"/>
              <w:numPr>
                <w:ilvl w:val="0"/>
                <w:numId w:val="17"/>
              </w:numPr>
              <w:spacing w:line="420" w:lineRule="exact"/>
              <w:rPr>
                <w:rFonts w:ascii="仿宋" w:hAnsi="仿宋" w:eastAsia="仿宋" w:cs="仿宋"/>
                <w:color w:val="auto"/>
                <w:szCs w:val="24"/>
              </w:rPr>
            </w:pPr>
            <w:r>
              <w:rPr>
                <w:rFonts w:hint="eastAsia" w:ascii="仿宋" w:hAnsi="仿宋" w:eastAsia="仿宋" w:cs="仿宋"/>
                <w:color w:val="auto"/>
                <w:szCs w:val="24"/>
              </w:rPr>
              <w:t>机器人运行自动程序使上层方块掉入比赛场地。</w:t>
            </w:r>
          </w:p>
          <w:p>
            <w:pPr>
              <w:pStyle w:val="30"/>
              <w:numPr>
                <w:ilvl w:val="0"/>
                <w:numId w:val="17"/>
              </w:numPr>
              <w:spacing w:line="420" w:lineRule="exact"/>
              <w:rPr>
                <w:rFonts w:ascii="仿宋" w:hAnsi="仿宋" w:eastAsia="仿宋" w:cs="仿宋"/>
                <w:color w:val="auto"/>
                <w:szCs w:val="24"/>
              </w:rPr>
            </w:pPr>
            <w:r>
              <w:rPr>
                <w:rFonts w:hint="eastAsia" w:ascii="仿宋" w:hAnsi="仿宋" w:eastAsia="仿宋" w:cs="仿宋"/>
                <w:color w:val="auto"/>
                <w:szCs w:val="24"/>
              </w:rPr>
              <w:t>机器人使圆柱在自动控制阶段结束后依然在初始的圆形线框内保持直立状态。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任务得分</w:t>
            </w:r>
          </w:p>
        </w:tc>
        <w:tc>
          <w:tcPr>
            <w:tcW w:w="7031" w:type="dxa"/>
            <w:gridSpan w:val="2"/>
          </w:tcPr>
          <w:p>
            <w:pPr>
              <w:pStyle w:val="30"/>
              <w:tabs>
                <w:tab w:val="left" w:pos="870"/>
              </w:tabs>
              <w:spacing w:line="420" w:lineRule="exact"/>
              <w:ind w:firstLine="0"/>
              <w:rPr>
                <w:rFonts w:ascii="仿宋" w:hAnsi="仿宋" w:eastAsia="仿宋" w:cs="仿宋"/>
                <w:color w:val="auto"/>
                <w:szCs w:val="24"/>
              </w:rPr>
            </w:pPr>
            <w:r>
              <w:rPr>
                <w:rFonts w:hint="eastAsia" w:ascii="仿宋" w:hAnsi="仿宋" w:eastAsia="仿宋" w:cs="仿宋"/>
              </w:rPr>
              <w:t>每个上层方块20分，每个圆柱20分，每方2个道具。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得分判定</w:t>
            </w:r>
          </w:p>
        </w:tc>
        <w:tc>
          <w:tcPr>
            <w:tcW w:w="7031" w:type="dxa"/>
            <w:gridSpan w:val="2"/>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自动控制阶段结束后：</w:t>
            </w:r>
          </w:p>
          <w:p>
            <w:pPr>
              <w:pStyle w:val="30"/>
              <w:numPr>
                <w:ilvl w:val="0"/>
                <w:numId w:val="18"/>
              </w:numPr>
              <w:tabs>
                <w:tab w:val="left" w:pos="960"/>
              </w:tabs>
              <w:spacing w:line="420" w:lineRule="exact"/>
              <w:rPr>
                <w:rFonts w:ascii="仿宋" w:hAnsi="仿宋" w:eastAsia="仿宋" w:cs="仿宋"/>
                <w:color w:val="auto"/>
                <w:szCs w:val="24"/>
              </w:rPr>
            </w:pPr>
            <w:r>
              <w:rPr>
                <w:rFonts w:hint="eastAsia" w:ascii="仿宋" w:hAnsi="仿宋" w:eastAsia="仿宋" w:cs="仿宋"/>
                <w:color w:val="auto"/>
                <w:szCs w:val="24"/>
              </w:rPr>
              <w:t>上层方块掉入比赛场地将视为得分，比赛场地包括自动区和手动区地图、赛台、赛台边框，不包括机器人以及赛台边框外的桌面、地面等。</w:t>
            </w:r>
          </w:p>
          <w:p>
            <w:pPr>
              <w:pStyle w:val="30"/>
              <w:numPr>
                <w:ilvl w:val="0"/>
                <w:numId w:val="18"/>
              </w:numPr>
              <w:tabs>
                <w:tab w:val="left" w:pos="960"/>
              </w:tabs>
              <w:spacing w:line="420" w:lineRule="exact"/>
              <w:rPr>
                <w:rFonts w:ascii="仿宋" w:hAnsi="仿宋" w:eastAsia="仿宋" w:cs="仿宋"/>
                <w:color w:val="auto"/>
                <w:szCs w:val="24"/>
              </w:rPr>
            </w:pPr>
            <w:r>
              <w:rPr>
                <w:rFonts w:hint="eastAsia" w:ascii="仿宋" w:hAnsi="仿宋" w:eastAsia="仿宋" w:cs="仿宋"/>
                <w:color w:val="auto"/>
                <w:szCs w:val="24"/>
              </w:rPr>
              <w:t>圆柱在初始的圆形线框内保持直立状态将视为得分。</w:t>
            </w:r>
          </w:p>
        </w:tc>
      </w:tr>
    </w:tbl>
    <w:p>
      <w:pPr>
        <w:pStyle w:val="64"/>
        <w:rPr>
          <w:rFonts w:ascii="仿宋" w:hAnsi="仿宋" w:eastAsia="仿宋" w:cs="仿宋"/>
        </w:rPr>
      </w:pPr>
      <w:r>
        <w:rPr>
          <w:rFonts w:hint="eastAsia" w:ascii="仿宋" w:hAnsi="仿宋" w:eastAsia="仿宋" w:cs="仿宋"/>
        </w:rPr>
        <w:t>方块得分判定：</w:t>
      </w:r>
    </w:p>
    <w:p>
      <w:pPr>
        <w:pStyle w:val="30"/>
        <w:spacing w:line="420" w:lineRule="exact"/>
        <w:rPr>
          <w:rFonts w:ascii="仿宋" w:hAnsi="仿宋" w:eastAsia="仿宋" w:cs="仿宋"/>
          <w:color w:val="auto"/>
          <w:szCs w:val="24"/>
        </w:rPr>
      </w:pPr>
      <w:r>
        <w:rPr>
          <w:rFonts w:hint="eastAsia" w:ascii="仿宋" w:hAnsi="仿宋" w:eastAsia="仿宋" w:cs="仿宋"/>
          <w:color w:val="auto"/>
          <w:szCs w:val="24"/>
        </w:rPr>
        <w:t>两个方块视为一组，其中一个方块被移除出比赛场地则整组都不得分。</w:t>
      </w:r>
    </w:p>
    <w:tbl>
      <w:tblPr>
        <w:tblStyle w:val="17"/>
        <w:tblW w:w="6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2625"/>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dxa"/>
            <w:shd w:val="clear" w:color="auto" w:fill="FFD1D1"/>
            <w:vAlign w:val="center"/>
          </w:tcPr>
          <w:p>
            <w:pPr>
              <w:pStyle w:val="30"/>
              <w:spacing w:line="420" w:lineRule="exact"/>
              <w:ind w:firstLine="0"/>
              <w:jc w:val="center"/>
              <w:rPr>
                <w:rFonts w:ascii="仿宋" w:hAnsi="仿宋" w:eastAsia="仿宋" w:cs="仿宋"/>
              </w:rPr>
            </w:pPr>
            <w:r>
              <w:rPr>
                <w:rFonts w:hint="eastAsia" w:ascii="仿宋" w:hAnsi="仿宋" w:eastAsia="仿宋" w:cs="仿宋"/>
              </w:rPr>
              <w:t>状态</w:t>
            </w:r>
          </w:p>
        </w:tc>
        <w:tc>
          <w:tcPr>
            <w:tcW w:w="2625" w:type="dxa"/>
            <w:shd w:val="clear" w:color="auto" w:fill="FFD1D1"/>
            <w:vAlign w:val="center"/>
          </w:tcPr>
          <w:p>
            <w:pPr>
              <w:pStyle w:val="30"/>
              <w:spacing w:line="420" w:lineRule="exact"/>
              <w:ind w:firstLine="0"/>
              <w:jc w:val="center"/>
              <w:rPr>
                <w:rFonts w:ascii="仿宋" w:hAnsi="仿宋" w:eastAsia="仿宋" w:cs="仿宋"/>
              </w:rPr>
            </w:pPr>
            <w:r>
              <w:rPr>
                <w:rFonts w:hint="eastAsia" w:ascii="仿宋" w:hAnsi="仿宋" w:eastAsia="仿宋" w:cs="仿宋"/>
              </w:rPr>
              <w:t>完全接触地面或边框</w:t>
            </w:r>
          </w:p>
        </w:tc>
        <w:tc>
          <w:tcPr>
            <w:tcW w:w="3055" w:type="dxa"/>
            <w:shd w:val="clear" w:color="auto" w:fill="FFD1D1"/>
            <w:vAlign w:val="center"/>
          </w:tcPr>
          <w:p>
            <w:pPr>
              <w:pStyle w:val="30"/>
              <w:spacing w:line="420" w:lineRule="exact"/>
              <w:ind w:firstLine="0"/>
              <w:jc w:val="center"/>
              <w:rPr>
                <w:rFonts w:ascii="仿宋" w:hAnsi="仿宋" w:eastAsia="仿宋" w:cs="仿宋"/>
              </w:rPr>
            </w:pPr>
            <w:r>
              <w:rPr>
                <w:rFonts w:hint="eastAsia" w:ascii="仿宋" w:hAnsi="仿宋" w:eastAsia="仿宋" w:cs="仿宋"/>
              </w:rPr>
              <w:t>部分接触地图或边框内侧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dxa"/>
            <w:shd w:val="clear" w:color="auto" w:fill="BDD6EE" w:themeFill="accent1" w:themeFillTint="66"/>
            <w:vAlign w:val="center"/>
          </w:tcPr>
          <w:p>
            <w:pPr>
              <w:pStyle w:val="30"/>
              <w:spacing w:line="420" w:lineRule="exact"/>
              <w:ind w:firstLine="0"/>
              <w:jc w:val="center"/>
              <w:rPr>
                <w:rFonts w:ascii="仿宋" w:hAnsi="仿宋" w:eastAsia="仿宋" w:cs="仿宋"/>
              </w:rPr>
            </w:pPr>
            <w:r>
              <w:rPr>
                <w:rFonts w:hint="eastAsia" w:ascii="仿宋" w:hAnsi="仿宋" w:eastAsia="仿宋" w:cs="仿宋"/>
              </w:rPr>
              <w:t>图例</w:t>
            </w:r>
          </w:p>
        </w:tc>
        <w:tc>
          <w:tcPr>
            <w:tcW w:w="2625" w:type="dxa"/>
            <w:shd w:val="clear" w:color="auto" w:fill="BDD6EE" w:themeFill="accent1" w:themeFillTint="66"/>
            <w:vAlign w:val="center"/>
          </w:tcPr>
          <w:p>
            <w:pPr>
              <w:spacing w:line="240" w:lineRule="auto"/>
              <w:jc w:val="center"/>
              <w:rPr>
                <w:rFonts w:ascii="仿宋" w:hAnsi="仿宋" w:eastAsia="仿宋" w:cs="仿宋"/>
                <w:sz w:val="18"/>
                <w:szCs w:val="18"/>
              </w:rPr>
            </w:pPr>
            <w:r>
              <w:rPr>
                <w:rFonts w:hint="eastAsia" w:ascii="仿宋" w:hAnsi="仿宋" w:eastAsia="仿宋" w:cs="仿宋"/>
              </w:rPr>
              <w:drawing>
                <wp:anchor distT="0" distB="0" distL="114300" distR="114300" simplePos="0" relativeHeight="251719680" behindDoc="0" locked="0" layoutInCell="1" allowOverlap="1">
                  <wp:simplePos x="0" y="0"/>
                  <wp:positionH relativeFrom="column">
                    <wp:posOffset>285750</wp:posOffset>
                  </wp:positionH>
                  <wp:positionV relativeFrom="paragraph">
                    <wp:posOffset>581025</wp:posOffset>
                  </wp:positionV>
                  <wp:extent cx="937260" cy="589915"/>
                  <wp:effectExtent l="0" t="0" r="0" b="635"/>
                  <wp:wrapTopAndBottom/>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7260" cy="589915"/>
                          </a:xfrm>
                          <a:prstGeom prst="rect">
                            <a:avLst/>
                          </a:prstGeom>
                        </pic:spPr>
                      </pic:pic>
                    </a:graphicData>
                  </a:graphic>
                </wp:anchor>
              </w:drawing>
            </w:r>
            <w:r>
              <w:rPr>
                <w:rFonts w:hint="eastAsia" w:ascii="仿宋" w:hAnsi="仿宋" w:eastAsia="仿宋" w:cs="仿宋"/>
                <w:sz w:val="18"/>
                <w:szCs w:val="18"/>
              </w:rPr>
              <w:drawing>
                <wp:inline distT="0" distB="0" distL="0" distR="0">
                  <wp:extent cx="1062355" cy="476885"/>
                  <wp:effectExtent l="0" t="0" r="4445" b="0"/>
                  <wp:docPr id="135" name="图片 135" descr="https://uploader.shimo.im/f/bT2ztrilVFYGb3Pz.pn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s://uploader.shimo.im/f/bT2ztrilVFYGb3Pz.png!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74614" cy="482170"/>
                          </a:xfrm>
                          <a:prstGeom prst="rect">
                            <a:avLst/>
                          </a:prstGeom>
                          <a:noFill/>
                          <a:ln>
                            <a:noFill/>
                          </a:ln>
                        </pic:spPr>
                      </pic:pic>
                    </a:graphicData>
                  </a:graphic>
                </wp:inline>
              </w:drawing>
            </w:r>
          </w:p>
        </w:tc>
        <w:tc>
          <w:tcPr>
            <w:tcW w:w="3055" w:type="dxa"/>
            <w:shd w:val="clear" w:color="auto" w:fill="BDD6EE" w:themeFill="accent1" w:themeFillTint="66"/>
            <w:vAlign w:val="center"/>
          </w:tcPr>
          <w:p>
            <w:pPr>
              <w:spacing w:line="420" w:lineRule="exact"/>
              <w:jc w:val="center"/>
              <w:rPr>
                <w:rFonts w:ascii="仿宋" w:hAnsi="仿宋" w:eastAsia="仿宋" w:cs="仿宋"/>
                <w:sz w:val="18"/>
                <w:szCs w:val="18"/>
              </w:rPr>
            </w:pPr>
            <w:r>
              <w:rPr>
                <w:rFonts w:hint="eastAsia" w:ascii="仿宋" w:hAnsi="仿宋" w:eastAsia="仿宋" w:cs="仿宋"/>
                <w:sz w:val="18"/>
                <w:szCs w:val="18"/>
              </w:rPr>
              <w:drawing>
                <wp:anchor distT="0" distB="0" distL="114300" distR="114300" simplePos="0" relativeHeight="251717632" behindDoc="0" locked="0" layoutInCell="1" allowOverlap="1">
                  <wp:simplePos x="0" y="0"/>
                  <wp:positionH relativeFrom="column">
                    <wp:posOffset>375920</wp:posOffset>
                  </wp:positionH>
                  <wp:positionV relativeFrom="paragraph">
                    <wp:posOffset>69215</wp:posOffset>
                  </wp:positionV>
                  <wp:extent cx="948055" cy="501650"/>
                  <wp:effectExtent l="0" t="0" r="4445" b="0"/>
                  <wp:wrapNone/>
                  <wp:docPr id="4" name="图片 4" descr="https://uploader.shimo.im/f/lpJoffgP92c7Akit.pn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uploader.shimo.im/f/lpJoffgP92c7Akit.png!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48055" cy="501650"/>
                          </a:xfrm>
                          <a:prstGeom prst="rect">
                            <a:avLst/>
                          </a:prstGeom>
                          <a:noFill/>
                          <a:ln>
                            <a:noFill/>
                          </a:ln>
                        </pic:spPr>
                      </pic:pic>
                    </a:graphicData>
                  </a:graphic>
                </wp:anchor>
              </w:drawing>
            </w:r>
          </w:p>
          <w:p>
            <w:pPr>
              <w:spacing w:line="420" w:lineRule="exact"/>
              <w:jc w:val="center"/>
              <w:rPr>
                <w:rFonts w:ascii="仿宋" w:hAnsi="仿宋" w:eastAsia="仿宋" w:cs="仿宋"/>
                <w:sz w:val="18"/>
                <w:szCs w:val="18"/>
              </w:rPr>
            </w:pPr>
          </w:p>
          <w:p>
            <w:pPr>
              <w:spacing w:line="420" w:lineRule="exact"/>
              <w:jc w:val="center"/>
              <w:rPr>
                <w:rFonts w:ascii="仿宋" w:hAnsi="仿宋" w:eastAsia="仿宋" w:cs="仿宋"/>
                <w:sz w:val="18"/>
                <w:szCs w:val="18"/>
              </w:rPr>
            </w:pPr>
            <w:r>
              <w:rPr>
                <w:rFonts w:hint="eastAsia" w:ascii="仿宋" w:hAnsi="仿宋" w:eastAsia="仿宋" w:cs="仿宋"/>
              </w:rPr>
              <w:drawing>
                <wp:anchor distT="0" distB="0" distL="114300" distR="114300" simplePos="0" relativeHeight="251718656" behindDoc="0" locked="0" layoutInCell="1" allowOverlap="1">
                  <wp:simplePos x="0" y="0"/>
                  <wp:positionH relativeFrom="column">
                    <wp:posOffset>363855</wp:posOffset>
                  </wp:positionH>
                  <wp:positionV relativeFrom="paragraph">
                    <wp:posOffset>112395</wp:posOffset>
                  </wp:positionV>
                  <wp:extent cx="951230" cy="583565"/>
                  <wp:effectExtent l="0" t="0" r="1270" b="698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1230" cy="583565"/>
                          </a:xfrm>
                          <a:prstGeom prst="rect">
                            <a:avLst/>
                          </a:prstGeom>
                        </pic:spPr>
                      </pic:pic>
                    </a:graphicData>
                  </a:graphic>
                </wp:anchor>
              </w:drawing>
            </w:r>
          </w:p>
          <w:p>
            <w:pPr>
              <w:spacing w:line="420" w:lineRule="exact"/>
              <w:jc w:val="center"/>
              <w:rPr>
                <w:rFonts w:ascii="仿宋" w:hAnsi="仿宋" w:eastAsia="仿宋" w:cs="仿宋"/>
                <w:sz w:val="18"/>
                <w:szCs w:val="18"/>
              </w:rPr>
            </w:pPr>
          </w:p>
          <w:p>
            <w:pPr>
              <w:spacing w:line="420" w:lineRule="exact"/>
              <w:jc w:val="center"/>
              <w:rPr>
                <w:rFonts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10" w:type="dxa"/>
            <w:vAlign w:val="center"/>
          </w:tcPr>
          <w:p>
            <w:pPr>
              <w:pStyle w:val="30"/>
              <w:spacing w:line="420" w:lineRule="exact"/>
              <w:ind w:firstLine="0"/>
              <w:jc w:val="center"/>
              <w:rPr>
                <w:rFonts w:ascii="仿宋" w:hAnsi="仿宋" w:eastAsia="仿宋" w:cs="仿宋"/>
              </w:rPr>
            </w:pPr>
            <w:r>
              <w:rPr>
                <w:rFonts w:hint="eastAsia" w:ascii="仿宋" w:hAnsi="仿宋" w:eastAsia="仿宋" w:cs="仿宋"/>
              </w:rPr>
              <w:t>是否得分</w:t>
            </w:r>
          </w:p>
        </w:tc>
        <w:tc>
          <w:tcPr>
            <w:tcW w:w="2625" w:type="dxa"/>
            <w:shd w:val="clear" w:color="auto" w:fill="CCE8CF" w:themeFill="background1"/>
            <w:vAlign w:val="center"/>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335915" cy="335915"/>
                  <wp:effectExtent l="0" t="0" r="6985" b="6985"/>
                  <wp:docPr id="146"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34"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8981" cy="338981"/>
                          </a:xfrm>
                          <a:prstGeom prst="rect">
                            <a:avLst/>
                          </a:prstGeom>
                        </pic:spPr>
                      </pic:pic>
                    </a:graphicData>
                  </a:graphic>
                </wp:inline>
              </w:drawing>
            </w:r>
          </w:p>
        </w:tc>
        <w:tc>
          <w:tcPr>
            <w:tcW w:w="3055" w:type="dxa"/>
            <w:shd w:val="clear" w:color="auto" w:fill="CCE8CF" w:themeFill="background1"/>
            <w:vAlign w:val="center"/>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337185" cy="337185"/>
                  <wp:effectExtent l="0" t="0" r="5715" b="5715"/>
                  <wp:docPr id="148"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33"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939" cy="341939"/>
                          </a:xfrm>
                          <a:prstGeom prst="rect">
                            <a:avLst/>
                          </a:prstGeom>
                        </pic:spPr>
                      </pic:pic>
                    </a:graphicData>
                  </a:graphic>
                </wp:inline>
              </w:drawing>
            </w:r>
          </w:p>
        </w:tc>
      </w:tr>
    </w:tbl>
    <w:p>
      <w:pPr>
        <w:pStyle w:val="30"/>
        <w:spacing w:line="420" w:lineRule="exact"/>
        <w:jc w:val="center"/>
        <w:rPr>
          <w:rFonts w:ascii="仿宋" w:hAnsi="仿宋" w:eastAsia="仿宋" w:cs="仿宋"/>
          <w:color w:val="auto"/>
          <w:szCs w:val="24"/>
        </w:rPr>
      </w:pPr>
      <w:r>
        <w:rPr>
          <w:rFonts w:hint="eastAsia" w:ascii="仿宋" w:hAnsi="仿宋" w:eastAsia="仿宋" w:cs="仿宋"/>
          <w:color w:val="auto"/>
          <w:szCs w:val="24"/>
        </w:rPr>
        <w:t>表2.4方块掉落状态判定</w:t>
      </w:r>
    </w:p>
    <w:tbl>
      <w:tblPr>
        <w:tblStyle w:val="17"/>
        <w:tblW w:w="6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2586"/>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shd w:val="clear" w:color="auto" w:fill="FFD1D1"/>
            <w:vAlign w:val="center"/>
          </w:tcPr>
          <w:p>
            <w:pPr>
              <w:pStyle w:val="30"/>
              <w:spacing w:line="420" w:lineRule="exact"/>
              <w:ind w:firstLine="0"/>
              <w:jc w:val="center"/>
              <w:rPr>
                <w:rFonts w:ascii="仿宋" w:hAnsi="仿宋" w:eastAsia="仿宋" w:cs="仿宋"/>
              </w:rPr>
            </w:pPr>
            <w:r>
              <w:rPr>
                <w:rFonts w:hint="eastAsia" w:ascii="仿宋" w:hAnsi="仿宋" w:eastAsia="仿宋" w:cs="仿宋"/>
              </w:rPr>
              <w:t>状态</w:t>
            </w:r>
          </w:p>
        </w:tc>
        <w:tc>
          <w:tcPr>
            <w:tcW w:w="2586" w:type="dxa"/>
            <w:shd w:val="clear" w:color="auto" w:fill="FFD1D1"/>
            <w:vAlign w:val="center"/>
          </w:tcPr>
          <w:p>
            <w:pPr>
              <w:pStyle w:val="30"/>
              <w:spacing w:line="420" w:lineRule="exact"/>
              <w:ind w:firstLine="0"/>
              <w:jc w:val="center"/>
              <w:rPr>
                <w:rFonts w:ascii="仿宋" w:hAnsi="仿宋" w:eastAsia="仿宋" w:cs="仿宋"/>
              </w:rPr>
            </w:pPr>
            <w:r>
              <w:rPr>
                <w:rFonts w:hint="eastAsia" w:ascii="仿宋" w:hAnsi="仿宋" w:eastAsia="仿宋" w:cs="仿宋"/>
              </w:rPr>
              <w:t>未掉落</w:t>
            </w:r>
          </w:p>
        </w:tc>
        <w:tc>
          <w:tcPr>
            <w:tcW w:w="2788" w:type="dxa"/>
            <w:shd w:val="clear" w:color="auto" w:fill="FFD1D1"/>
            <w:vAlign w:val="center"/>
          </w:tcPr>
          <w:p>
            <w:pPr>
              <w:pStyle w:val="30"/>
              <w:spacing w:line="420" w:lineRule="exact"/>
              <w:ind w:firstLine="0"/>
              <w:jc w:val="center"/>
              <w:rPr>
                <w:rFonts w:ascii="仿宋" w:hAnsi="仿宋" w:eastAsia="仿宋" w:cs="仿宋"/>
              </w:rPr>
            </w:pPr>
            <w:r>
              <w:rPr>
                <w:rFonts w:hint="eastAsia" w:ascii="仿宋" w:hAnsi="仿宋" w:eastAsia="仿宋" w:cs="仿宋"/>
              </w:rPr>
              <w:t>脱离比赛场地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431" w:type="dxa"/>
            <w:shd w:val="clear" w:color="auto" w:fill="BDD6EE" w:themeFill="accent1" w:themeFillTint="66"/>
            <w:vAlign w:val="center"/>
          </w:tcPr>
          <w:p>
            <w:pPr>
              <w:pStyle w:val="30"/>
              <w:spacing w:line="420" w:lineRule="exact"/>
              <w:ind w:firstLine="0"/>
              <w:jc w:val="center"/>
              <w:rPr>
                <w:rFonts w:ascii="仿宋" w:hAnsi="仿宋" w:eastAsia="仿宋" w:cs="仿宋"/>
              </w:rPr>
            </w:pPr>
            <w:r>
              <w:rPr>
                <w:rFonts w:hint="eastAsia" w:ascii="仿宋" w:hAnsi="仿宋" w:eastAsia="仿宋" w:cs="仿宋"/>
              </w:rPr>
              <w:t>图例</w:t>
            </w:r>
          </w:p>
        </w:tc>
        <w:tc>
          <w:tcPr>
            <w:tcW w:w="2586" w:type="dxa"/>
            <w:shd w:val="clear" w:color="auto" w:fill="BDD6EE" w:themeFill="accent1" w:themeFillTint="66"/>
            <w:vAlign w:val="center"/>
          </w:tcPr>
          <w:p>
            <w:pPr>
              <w:spacing w:line="240" w:lineRule="auto"/>
              <w:jc w:val="center"/>
              <w:rPr>
                <w:rFonts w:ascii="仿宋" w:hAnsi="仿宋" w:eastAsia="仿宋" w:cs="仿宋"/>
                <w:sz w:val="18"/>
                <w:szCs w:val="18"/>
              </w:rPr>
            </w:pPr>
            <w:r>
              <w:rPr>
                <w:rFonts w:hint="eastAsia" w:ascii="仿宋" w:hAnsi="仿宋" w:eastAsia="仿宋" w:cs="仿宋"/>
                <w:sz w:val="18"/>
                <w:szCs w:val="18"/>
              </w:rPr>
              <w:drawing>
                <wp:inline distT="0" distB="0" distL="0" distR="0">
                  <wp:extent cx="880110" cy="565785"/>
                  <wp:effectExtent l="0" t="0" r="0" b="5715"/>
                  <wp:docPr id="138" name="图片 138" descr="https://uploader.shimo.im/f/3jA9cdSi6Tslhqb3.pn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s://uploader.shimo.im/f/3jA9cdSi6Tslhqb3.png!previe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01504" cy="579904"/>
                          </a:xfrm>
                          <a:prstGeom prst="rect">
                            <a:avLst/>
                          </a:prstGeom>
                          <a:noFill/>
                          <a:ln>
                            <a:noFill/>
                          </a:ln>
                        </pic:spPr>
                      </pic:pic>
                    </a:graphicData>
                  </a:graphic>
                </wp:inline>
              </w:drawing>
            </w:r>
          </w:p>
        </w:tc>
        <w:tc>
          <w:tcPr>
            <w:tcW w:w="2788" w:type="dxa"/>
            <w:shd w:val="clear" w:color="auto" w:fill="BDD6EE" w:themeFill="accent1" w:themeFillTint="66"/>
            <w:vAlign w:val="center"/>
          </w:tcPr>
          <w:p>
            <w:pPr>
              <w:spacing w:line="240" w:lineRule="auto"/>
              <w:jc w:val="center"/>
              <w:rPr>
                <w:rFonts w:ascii="仿宋" w:hAnsi="仿宋" w:eastAsia="仿宋" w:cs="仿宋"/>
                <w:sz w:val="18"/>
                <w:szCs w:val="18"/>
              </w:rPr>
            </w:pPr>
            <w:r>
              <w:rPr>
                <w:rFonts w:hint="eastAsia" w:ascii="仿宋" w:hAnsi="仿宋" w:eastAsia="仿宋" w:cs="仿宋"/>
              </w:rPr>
              <w:drawing>
                <wp:inline distT="0" distB="0" distL="0" distR="0">
                  <wp:extent cx="943610" cy="372110"/>
                  <wp:effectExtent l="0" t="0" r="8890" b="889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0"/>
                          <a:stretch>
                            <a:fillRect/>
                          </a:stretch>
                        </pic:blipFill>
                        <pic:spPr>
                          <a:xfrm>
                            <a:off x="0" y="0"/>
                            <a:ext cx="972261" cy="38342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31" w:type="dxa"/>
            <w:vAlign w:val="center"/>
          </w:tcPr>
          <w:p>
            <w:pPr>
              <w:pStyle w:val="30"/>
              <w:spacing w:line="420" w:lineRule="exact"/>
              <w:ind w:firstLine="0"/>
              <w:jc w:val="center"/>
              <w:rPr>
                <w:rFonts w:ascii="仿宋" w:hAnsi="仿宋" w:eastAsia="仿宋" w:cs="仿宋"/>
              </w:rPr>
            </w:pPr>
            <w:r>
              <w:rPr>
                <w:rFonts w:hint="eastAsia" w:ascii="仿宋" w:hAnsi="仿宋" w:eastAsia="仿宋" w:cs="仿宋"/>
              </w:rPr>
              <w:t>是否得分</w:t>
            </w:r>
          </w:p>
        </w:tc>
        <w:tc>
          <w:tcPr>
            <w:tcW w:w="2586" w:type="dxa"/>
            <w:shd w:val="clear" w:color="auto" w:fill="auto"/>
            <w:vAlign w:val="center"/>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379095" cy="379095"/>
                  <wp:effectExtent l="0" t="0" r="0" b="1905"/>
                  <wp:docPr id="150" name="Graphic 2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phic 23" descr="Close"/>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4810" cy="394810"/>
                          </a:xfrm>
                          <a:prstGeom prst="rect">
                            <a:avLst/>
                          </a:prstGeom>
                        </pic:spPr>
                      </pic:pic>
                    </a:graphicData>
                  </a:graphic>
                </wp:inline>
              </w:drawing>
            </w:r>
          </w:p>
        </w:tc>
        <w:tc>
          <w:tcPr>
            <w:tcW w:w="2788" w:type="dxa"/>
            <w:shd w:val="clear" w:color="auto" w:fill="auto"/>
            <w:vAlign w:val="center"/>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387350" cy="387350"/>
                  <wp:effectExtent l="0" t="0" r="0" b="0"/>
                  <wp:docPr id="151" name="Graphic 2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c 23" descr="Close"/>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0044" cy="390044"/>
                          </a:xfrm>
                          <a:prstGeom prst="rect">
                            <a:avLst/>
                          </a:prstGeom>
                        </pic:spPr>
                      </pic:pic>
                    </a:graphicData>
                  </a:graphic>
                </wp:inline>
              </w:drawing>
            </w:r>
          </w:p>
        </w:tc>
      </w:tr>
    </w:tbl>
    <w:p>
      <w:pPr>
        <w:pStyle w:val="30"/>
        <w:spacing w:line="420" w:lineRule="exact"/>
        <w:jc w:val="center"/>
        <w:rPr>
          <w:rFonts w:ascii="仿宋" w:hAnsi="仿宋" w:eastAsia="仿宋" w:cs="仿宋"/>
          <w:color w:val="auto"/>
          <w:szCs w:val="24"/>
        </w:rPr>
      </w:pPr>
      <w:r>
        <w:rPr>
          <w:rFonts w:hint="eastAsia" w:ascii="仿宋" w:hAnsi="仿宋" w:eastAsia="仿宋" w:cs="仿宋"/>
          <w:color w:val="auto"/>
          <w:szCs w:val="24"/>
        </w:rPr>
        <w:t>表2.5方块掉落状态判定</w:t>
      </w:r>
    </w:p>
    <w:p>
      <w:pPr>
        <w:pStyle w:val="64"/>
        <w:rPr>
          <w:rFonts w:ascii="仿宋" w:hAnsi="仿宋" w:eastAsia="仿宋" w:cs="仿宋"/>
        </w:rPr>
      </w:pPr>
      <w:r>
        <w:rPr>
          <w:rFonts w:hint="eastAsia" w:ascii="仿宋" w:hAnsi="仿宋" w:eastAsia="仿宋" w:cs="仿宋"/>
        </w:rPr>
        <w:t>圆柱得分判定：</w:t>
      </w:r>
    </w:p>
    <w:p>
      <w:pPr>
        <w:pStyle w:val="30"/>
        <w:spacing w:line="420" w:lineRule="exact"/>
        <w:rPr>
          <w:rFonts w:ascii="仿宋" w:hAnsi="仿宋" w:eastAsia="仿宋" w:cs="仿宋"/>
          <w:color w:val="auto"/>
          <w:szCs w:val="24"/>
        </w:rPr>
      </w:pPr>
      <w:r>
        <w:rPr>
          <w:rFonts w:hint="eastAsia" w:ascii="仿宋" w:hAnsi="仿宋" w:eastAsia="仿宋" w:cs="仿宋"/>
          <w:color w:val="auto"/>
          <w:szCs w:val="24"/>
        </w:rPr>
        <w:t>直立状态指圆柱道具圆形底面完全接触比赛场地，不包括倾斜、倒地、依靠等状态。</w:t>
      </w:r>
    </w:p>
    <w:p>
      <w:pPr>
        <w:pStyle w:val="30"/>
        <w:spacing w:line="420" w:lineRule="exact"/>
        <w:rPr>
          <w:rFonts w:ascii="仿宋" w:hAnsi="仿宋" w:eastAsia="仿宋" w:cs="仿宋"/>
          <w:color w:val="auto"/>
          <w:szCs w:val="24"/>
        </w:rPr>
      </w:pPr>
      <w:r>
        <w:rPr>
          <w:rFonts w:hint="eastAsia" w:ascii="仿宋" w:hAnsi="仿宋" w:eastAsia="仿宋" w:cs="仿宋"/>
          <w:color w:val="auto"/>
          <w:szCs w:val="24"/>
        </w:rPr>
        <w:t>圆形线框内包括完全在内与部分在内，圆柱底面与圆形线框外边缘外侧有接触（相切）即视为在内。</w:t>
      </w:r>
    </w:p>
    <w:tbl>
      <w:tblPr>
        <w:tblStyle w:val="17"/>
        <w:tblW w:w="7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917"/>
        <w:gridCol w:w="1919"/>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状态</w:t>
            </w:r>
          </w:p>
        </w:tc>
        <w:tc>
          <w:tcPr>
            <w:tcW w:w="1917"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完全在内</w:t>
            </w:r>
          </w:p>
        </w:tc>
        <w:tc>
          <w:tcPr>
            <w:tcW w:w="1919"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部分在内</w:t>
            </w:r>
          </w:p>
        </w:tc>
        <w:tc>
          <w:tcPr>
            <w:tcW w:w="1852"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部分在内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1552" w:type="dxa"/>
            <w:shd w:val="clear" w:color="auto" w:fill="BDD6EE" w:themeFill="accent1" w:themeFillTint="66"/>
            <w:vAlign w:val="center"/>
          </w:tcPr>
          <w:p>
            <w:pPr>
              <w:pStyle w:val="30"/>
              <w:spacing w:line="420" w:lineRule="exact"/>
              <w:ind w:firstLine="0"/>
              <w:jc w:val="center"/>
              <w:rPr>
                <w:rFonts w:ascii="仿宋" w:hAnsi="仿宋" w:eastAsia="仿宋" w:cs="仿宋"/>
              </w:rPr>
            </w:pPr>
            <w:r>
              <w:rPr>
                <w:rFonts w:hint="eastAsia" w:ascii="仿宋" w:hAnsi="仿宋" w:eastAsia="仿宋" w:cs="仿宋"/>
              </w:rPr>
              <w:t>图例</w:t>
            </w:r>
          </w:p>
        </w:tc>
        <w:tc>
          <w:tcPr>
            <w:tcW w:w="1917" w:type="dxa"/>
            <w:shd w:val="clear" w:color="auto" w:fill="BDD6EE" w:themeFill="accent1" w:themeFillTint="66"/>
            <w:vAlign w:val="center"/>
          </w:tcPr>
          <w:p>
            <w:pPr>
              <w:spacing w:line="240" w:lineRule="auto"/>
              <w:jc w:val="center"/>
              <w:rPr>
                <w:rFonts w:ascii="仿宋" w:hAnsi="仿宋" w:eastAsia="仿宋" w:cs="仿宋"/>
                <w:sz w:val="18"/>
                <w:szCs w:val="18"/>
              </w:rPr>
            </w:pPr>
            <w:r>
              <w:rPr>
                <w:rFonts w:hint="eastAsia" w:ascii="仿宋" w:hAnsi="仿宋" w:eastAsia="仿宋" w:cs="仿宋"/>
              </w:rPr>
              <w:drawing>
                <wp:inline distT="0" distB="0" distL="0" distR="0">
                  <wp:extent cx="829945" cy="350520"/>
                  <wp:effectExtent l="0" t="0" r="825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3"/>
                          <a:stretch>
                            <a:fillRect/>
                          </a:stretch>
                        </pic:blipFill>
                        <pic:spPr>
                          <a:xfrm>
                            <a:off x="0" y="0"/>
                            <a:ext cx="845472" cy="356978"/>
                          </a:xfrm>
                          <a:prstGeom prst="rect">
                            <a:avLst/>
                          </a:prstGeom>
                        </pic:spPr>
                      </pic:pic>
                    </a:graphicData>
                  </a:graphic>
                </wp:inline>
              </w:drawing>
            </w:r>
          </w:p>
        </w:tc>
        <w:tc>
          <w:tcPr>
            <w:tcW w:w="1919" w:type="dxa"/>
            <w:shd w:val="clear" w:color="auto" w:fill="BDD6EE" w:themeFill="accent1" w:themeFillTint="66"/>
            <w:vAlign w:val="center"/>
          </w:tcPr>
          <w:p>
            <w:pPr>
              <w:spacing w:line="240" w:lineRule="auto"/>
              <w:jc w:val="center"/>
              <w:rPr>
                <w:rFonts w:ascii="仿宋" w:hAnsi="仿宋" w:eastAsia="仿宋" w:cs="仿宋"/>
                <w:sz w:val="18"/>
                <w:szCs w:val="18"/>
              </w:rPr>
            </w:pPr>
            <w:r>
              <w:rPr>
                <w:rFonts w:hint="eastAsia" w:ascii="仿宋" w:hAnsi="仿宋" w:eastAsia="仿宋" w:cs="仿宋"/>
              </w:rPr>
              <w:drawing>
                <wp:inline distT="0" distB="0" distL="0" distR="0">
                  <wp:extent cx="842645" cy="577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44"/>
                          <a:stretch>
                            <a:fillRect/>
                          </a:stretch>
                        </pic:blipFill>
                        <pic:spPr>
                          <a:xfrm>
                            <a:off x="0" y="0"/>
                            <a:ext cx="864193" cy="592311"/>
                          </a:xfrm>
                          <a:prstGeom prst="rect">
                            <a:avLst/>
                          </a:prstGeom>
                        </pic:spPr>
                      </pic:pic>
                    </a:graphicData>
                  </a:graphic>
                </wp:inline>
              </w:drawing>
            </w:r>
          </w:p>
        </w:tc>
        <w:tc>
          <w:tcPr>
            <w:tcW w:w="1852" w:type="dxa"/>
            <w:shd w:val="clear" w:color="auto" w:fill="BDD6EE" w:themeFill="accent1" w:themeFillTint="66"/>
            <w:vAlign w:val="center"/>
          </w:tcPr>
          <w:p>
            <w:pPr>
              <w:spacing w:line="240" w:lineRule="auto"/>
              <w:jc w:val="center"/>
              <w:rPr>
                <w:rFonts w:ascii="仿宋" w:hAnsi="仿宋" w:eastAsia="仿宋" w:cs="仿宋"/>
                <w:sz w:val="18"/>
                <w:szCs w:val="18"/>
              </w:rPr>
            </w:pPr>
            <w:r>
              <w:rPr>
                <w:rFonts w:hint="eastAsia" w:ascii="仿宋" w:hAnsi="仿宋" w:eastAsia="仿宋" w:cs="仿宋"/>
              </w:rPr>
              <w:drawing>
                <wp:inline distT="0" distB="0" distL="0" distR="0">
                  <wp:extent cx="816610" cy="679450"/>
                  <wp:effectExtent l="0" t="0" r="2540" b="635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45"/>
                          <a:stretch>
                            <a:fillRect/>
                          </a:stretch>
                        </pic:blipFill>
                        <pic:spPr>
                          <a:xfrm>
                            <a:off x="0" y="0"/>
                            <a:ext cx="826524" cy="6879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52" w:type="dxa"/>
            <w:vAlign w:val="center"/>
          </w:tcPr>
          <w:p>
            <w:pPr>
              <w:pStyle w:val="30"/>
              <w:spacing w:line="420" w:lineRule="exact"/>
              <w:ind w:firstLine="0"/>
              <w:jc w:val="center"/>
              <w:rPr>
                <w:rFonts w:ascii="仿宋" w:hAnsi="仿宋" w:eastAsia="仿宋" w:cs="仿宋"/>
              </w:rPr>
            </w:pPr>
            <w:r>
              <w:rPr>
                <w:rFonts w:hint="eastAsia" w:ascii="仿宋" w:hAnsi="仿宋" w:eastAsia="仿宋" w:cs="仿宋"/>
              </w:rPr>
              <w:t>是否得分</w:t>
            </w:r>
          </w:p>
        </w:tc>
        <w:tc>
          <w:tcPr>
            <w:tcW w:w="1917"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466725" cy="466725"/>
                  <wp:effectExtent l="0" t="0" r="9525" b="0"/>
                  <wp:docPr id="157"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phic 20"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6725" cy="466725"/>
                          </a:xfrm>
                          <a:prstGeom prst="rect">
                            <a:avLst/>
                          </a:prstGeom>
                        </pic:spPr>
                      </pic:pic>
                    </a:graphicData>
                  </a:graphic>
                </wp:inline>
              </w:drawing>
            </w:r>
          </w:p>
        </w:tc>
        <w:tc>
          <w:tcPr>
            <w:tcW w:w="1919"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466725" cy="466725"/>
                  <wp:effectExtent l="0" t="0" r="9525" b="0"/>
                  <wp:docPr id="161"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phic 21"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6725" cy="466725"/>
                          </a:xfrm>
                          <a:prstGeom prst="rect">
                            <a:avLst/>
                          </a:prstGeom>
                        </pic:spPr>
                      </pic:pic>
                    </a:graphicData>
                  </a:graphic>
                </wp:inline>
              </w:drawing>
            </w:r>
          </w:p>
        </w:tc>
        <w:tc>
          <w:tcPr>
            <w:tcW w:w="1852"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466725" cy="466725"/>
                  <wp:effectExtent l="0" t="0" r="9525" b="0"/>
                  <wp:docPr id="164"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c 21"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6725" cy="466725"/>
                          </a:xfrm>
                          <a:prstGeom prst="rect">
                            <a:avLst/>
                          </a:prstGeom>
                        </pic:spPr>
                      </pic:pic>
                    </a:graphicData>
                  </a:graphic>
                </wp:inline>
              </w:drawing>
            </w:r>
          </w:p>
        </w:tc>
      </w:tr>
    </w:tbl>
    <w:p>
      <w:pPr>
        <w:pStyle w:val="30"/>
        <w:spacing w:line="420" w:lineRule="exact"/>
        <w:jc w:val="center"/>
        <w:rPr>
          <w:rFonts w:ascii="仿宋" w:hAnsi="仿宋" w:eastAsia="仿宋" w:cs="仿宋"/>
          <w:color w:val="auto"/>
          <w:szCs w:val="24"/>
        </w:rPr>
      </w:pPr>
      <w:r>
        <w:rPr>
          <w:rFonts w:hint="eastAsia" w:ascii="仿宋" w:hAnsi="仿宋" w:eastAsia="仿宋" w:cs="仿宋"/>
          <w:color w:val="auto"/>
          <w:szCs w:val="24"/>
        </w:rPr>
        <w:t>表2.6圆柱得分判定-得分</w:t>
      </w:r>
    </w:p>
    <w:p>
      <w:pPr>
        <w:pStyle w:val="30"/>
        <w:spacing w:line="420" w:lineRule="exact"/>
        <w:rPr>
          <w:rFonts w:ascii="仿宋" w:hAnsi="仿宋" w:eastAsia="仿宋" w:cs="仿宋"/>
          <w:color w:val="auto"/>
          <w:szCs w:val="24"/>
        </w:rPr>
      </w:pPr>
      <w:r>
        <w:rPr>
          <w:rFonts w:hint="eastAsia" w:ascii="仿宋" w:hAnsi="仿宋" w:eastAsia="仿宋" w:cs="仿宋"/>
          <w:color w:val="auto"/>
          <w:szCs w:val="24"/>
        </w:rPr>
        <w:t>M06检测社区数据及M07检测交通数据摆放位置相同。红蓝双方在比赛中要完成的任务将在比赛开始前由组委会决定并公布。基本介绍如下：</w:t>
      </w:r>
    </w:p>
    <w:tbl>
      <w:tblPr>
        <w:tblStyle w:val="18"/>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674"/>
        <w:gridCol w:w="2106"/>
        <w:gridCol w:w="1874"/>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Pr>
          <w:p>
            <w:pPr>
              <w:pStyle w:val="64"/>
              <w:spacing w:line="420" w:lineRule="exact"/>
              <w:jc w:val="center"/>
              <w:rPr>
                <w:rFonts w:ascii="仿宋" w:hAnsi="仿宋" w:eastAsia="仿宋" w:cs="仿宋"/>
              </w:rPr>
            </w:pPr>
            <w:r>
              <w:rPr>
                <w:rFonts w:hint="eastAsia" w:ascii="仿宋" w:hAnsi="仿宋" w:eastAsia="仿宋" w:cs="仿宋"/>
              </w:rPr>
              <w:t>联盟任务</w:t>
            </w:r>
          </w:p>
        </w:tc>
        <w:tc>
          <w:tcPr>
            <w:tcW w:w="3780" w:type="dxa"/>
            <w:gridSpan w:val="2"/>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M06检测社区数据</w:t>
            </w:r>
          </w:p>
        </w:tc>
        <w:tc>
          <w:tcPr>
            <w:tcW w:w="3492" w:type="dxa"/>
            <w:gridSpan w:val="2"/>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M07检测交通数据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任务背景</w:t>
            </w:r>
          </w:p>
        </w:tc>
        <w:tc>
          <w:tcPr>
            <w:tcW w:w="3780" w:type="dxa"/>
            <w:gridSpan w:val="2"/>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城市中的低层建筑建有社区数据交换中心。</w:t>
            </w:r>
            <w:r>
              <w:rPr>
                <w:rFonts w:hint="eastAsia" w:ascii="仿宋" w:hAnsi="仿宋" w:eastAsia="仿宋" w:cs="仿宋"/>
                <w:color w:val="auto"/>
                <w:szCs w:val="24"/>
              </w:rPr>
              <w:t>机器人</w:t>
            </w:r>
            <w:r>
              <w:rPr>
                <w:rFonts w:hint="eastAsia" w:ascii="仿宋" w:hAnsi="仿宋" w:eastAsia="仿宋" w:cs="仿宋"/>
                <w:color w:val="auto"/>
              </w:rPr>
              <w:t>需要在此处对每个节点的数据进行检测，识别出无效数据并获取有效数据。</w:t>
            </w:r>
          </w:p>
        </w:tc>
        <w:tc>
          <w:tcPr>
            <w:tcW w:w="3492" w:type="dxa"/>
            <w:gridSpan w:val="2"/>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城市中的交通体系建有交通数据交换中心。</w:t>
            </w:r>
            <w:r>
              <w:rPr>
                <w:rFonts w:hint="eastAsia" w:ascii="仿宋" w:hAnsi="仿宋" w:eastAsia="仿宋" w:cs="仿宋"/>
                <w:color w:val="auto"/>
                <w:szCs w:val="24"/>
              </w:rPr>
              <w:t>机器人</w:t>
            </w:r>
            <w:r>
              <w:rPr>
                <w:rFonts w:hint="eastAsia" w:ascii="仿宋" w:hAnsi="仿宋" w:eastAsia="仿宋" w:cs="仿宋"/>
                <w:color w:val="auto"/>
              </w:rPr>
              <w:t>需要在此处对每个节点的数据进行检测，识别出无效数据并获取有效数据。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26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初始状态示意图</w:t>
            </w:r>
          </w:p>
        </w:tc>
        <w:tc>
          <w:tcPr>
            <w:tcW w:w="7272" w:type="dxa"/>
            <w:gridSpan w:val="4"/>
          </w:tcPr>
          <w:p>
            <w:pPr>
              <w:pStyle w:val="30"/>
              <w:spacing w:line="420" w:lineRule="exact"/>
              <w:ind w:left="420" w:firstLine="0"/>
              <w:rPr>
                <w:rFonts w:ascii="仿宋" w:hAnsi="仿宋" w:eastAsia="仿宋" w:cs="仿宋"/>
                <w:color w:val="auto"/>
                <w:szCs w:val="24"/>
              </w:rPr>
            </w:pPr>
            <w:r>
              <w:rPr>
                <w:rFonts w:hint="eastAsia" w:ascii="仿宋" w:hAnsi="仿宋" w:eastAsia="仿宋" w:cs="仿宋"/>
                <w:color w:val="auto"/>
                <w:szCs w:val="24"/>
              </w:rPr>
              <w:t>1.三个蓝色金属道具上方分别放置两个绿色小球，一个白色小球。</w:t>
            </w:r>
          </w:p>
          <w:p>
            <w:pPr>
              <w:pStyle w:val="30"/>
              <w:spacing w:line="420" w:lineRule="exact"/>
              <w:ind w:left="420" w:firstLine="0"/>
              <w:rPr>
                <w:rFonts w:ascii="仿宋" w:hAnsi="仿宋" w:eastAsia="仿宋" w:cs="仿宋"/>
                <w:color w:val="auto"/>
                <w:szCs w:val="24"/>
              </w:rPr>
            </w:pPr>
            <w:r>
              <w:rPr>
                <w:rFonts w:hint="eastAsia" w:ascii="仿宋" w:hAnsi="仿宋" w:eastAsia="仿宋" w:cs="仿宋"/>
                <w:color w:val="auto"/>
                <w:sz w:val="32"/>
              </w:rPr>
              <w:drawing>
                <wp:anchor distT="0" distB="0" distL="114300" distR="114300" simplePos="0" relativeHeight="251788288" behindDoc="0" locked="0" layoutInCell="1" allowOverlap="1">
                  <wp:simplePos x="0" y="0"/>
                  <wp:positionH relativeFrom="column">
                    <wp:posOffset>215265</wp:posOffset>
                  </wp:positionH>
                  <wp:positionV relativeFrom="paragraph">
                    <wp:posOffset>318770</wp:posOffset>
                  </wp:positionV>
                  <wp:extent cx="2160270" cy="1043940"/>
                  <wp:effectExtent l="0" t="0" r="3810" b="762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270" cy="1043940"/>
                          </a:xfrm>
                          <a:prstGeom prst="rect">
                            <a:avLst/>
                          </a:prstGeom>
                        </pic:spPr>
                      </pic:pic>
                    </a:graphicData>
                  </a:graphic>
                </wp:anchor>
              </w:drawing>
            </w:r>
            <w:r>
              <w:rPr>
                <w:rFonts w:hint="eastAsia" w:ascii="仿宋" w:hAnsi="仿宋" w:eastAsia="仿宋" w:cs="仿宋"/>
                <w:color w:val="auto"/>
                <w:szCs w:val="24"/>
              </w:rPr>
              <w:t>2．单场比赛前，在1至5号位置中以道具卡的形式抽取其中三个位置摆放道具。白，绿色小球所在位置以抽选道具卡图示为准。</w:t>
            </w:r>
          </w:p>
          <w:p>
            <w:pPr>
              <w:pStyle w:val="30"/>
              <w:spacing w:line="420" w:lineRule="exact"/>
              <w:ind w:left="420" w:firstLine="0"/>
              <w:rPr>
                <w:rFonts w:ascii="仿宋" w:hAnsi="仿宋" w:eastAsia="仿宋" w:cs="仿宋"/>
                <w:color w:val="auto"/>
                <w:szCs w:val="24"/>
              </w:rPr>
            </w:pPr>
            <w:r>
              <w:rPr>
                <w:rFonts w:hint="eastAsia" w:ascii="仿宋" w:hAnsi="仿宋" w:eastAsia="仿宋" w:cs="仿宋"/>
                <w:color w:val="auto"/>
                <w:szCs w:val="24"/>
              </w:rPr>
              <w:t>3. 白色小球为干扰球。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269" w:type="dxa"/>
            <w:vMerge w:val="restart"/>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道具放置示意图</w:t>
            </w:r>
          </w:p>
        </w:tc>
        <w:tc>
          <w:tcPr>
            <w:tcW w:w="1674"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drawing>
                <wp:anchor distT="0" distB="0" distL="114300" distR="114300" simplePos="0" relativeHeight="251776000" behindDoc="0" locked="0" layoutInCell="1" allowOverlap="1">
                  <wp:simplePos x="0" y="0"/>
                  <wp:positionH relativeFrom="column">
                    <wp:posOffset>135255</wp:posOffset>
                  </wp:positionH>
                  <wp:positionV relativeFrom="paragraph">
                    <wp:posOffset>143510</wp:posOffset>
                  </wp:positionV>
                  <wp:extent cx="621665" cy="621665"/>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21665" cy="621665"/>
                          </a:xfrm>
                          <a:prstGeom prst="rect">
                            <a:avLst/>
                          </a:prstGeom>
                          <a:noFill/>
                        </pic:spPr>
                      </pic:pic>
                    </a:graphicData>
                  </a:graphic>
                </wp:anchor>
              </w:drawing>
            </w:r>
          </w:p>
        </w:tc>
        <w:tc>
          <w:tcPr>
            <w:tcW w:w="2106" w:type="dxa"/>
            <w:vMerge w:val="restart"/>
            <w:tcBorders>
              <w:right w:val="single" w:color="auto" w:sz="8" w:space="0"/>
            </w:tcBorders>
          </w:tcPr>
          <w:p>
            <w:pPr>
              <w:pStyle w:val="30"/>
              <w:spacing w:line="420" w:lineRule="exact"/>
              <w:ind w:firstLine="0"/>
              <w:rPr>
                <w:rFonts w:ascii="仿宋" w:hAnsi="仿宋" w:eastAsia="仿宋" w:cs="仿宋"/>
                <w:color w:val="auto"/>
              </w:rPr>
            </w:pPr>
            <w:r>
              <w:rPr>
                <w:rFonts w:hint="eastAsia" w:ascii="仿宋" w:hAnsi="仿宋" w:eastAsia="仿宋" w:cs="仿宋"/>
                <w:color w:val="auto"/>
              </w:rPr>
              <w:drawing>
                <wp:anchor distT="0" distB="0" distL="114300" distR="114300" simplePos="0" relativeHeight="251773952" behindDoc="0" locked="0" layoutInCell="1" allowOverlap="1">
                  <wp:simplePos x="0" y="0"/>
                  <wp:positionH relativeFrom="column">
                    <wp:posOffset>184785</wp:posOffset>
                  </wp:positionH>
                  <wp:positionV relativeFrom="paragraph">
                    <wp:posOffset>772160</wp:posOffset>
                  </wp:positionV>
                  <wp:extent cx="770255" cy="637540"/>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70255" cy="637540"/>
                          </a:xfrm>
                          <a:prstGeom prst="rect">
                            <a:avLst/>
                          </a:prstGeom>
                          <a:noFill/>
                          <a:ln>
                            <a:noFill/>
                          </a:ln>
                        </pic:spPr>
                      </pic:pic>
                    </a:graphicData>
                  </a:graphic>
                </wp:anchor>
              </w:drawing>
            </w:r>
          </w:p>
        </w:tc>
        <w:tc>
          <w:tcPr>
            <w:tcW w:w="1874" w:type="dxa"/>
            <w:tcBorders>
              <w:left w:val="single" w:color="auto" w:sz="8" w:space="0"/>
            </w:tcBorders>
          </w:tcPr>
          <w:p>
            <w:pPr>
              <w:pStyle w:val="30"/>
              <w:spacing w:line="420" w:lineRule="exact"/>
              <w:ind w:firstLine="0"/>
              <w:rPr>
                <w:rFonts w:ascii="仿宋" w:hAnsi="仿宋" w:eastAsia="仿宋" w:cs="仿宋"/>
                <w:color w:val="auto"/>
              </w:rPr>
            </w:pPr>
            <w:r>
              <w:rPr>
                <w:rFonts w:hint="eastAsia" w:ascii="仿宋" w:hAnsi="仿宋" w:eastAsia="仿宋" w:cs="仿宋"/>
                <w:color w:val="auto"/>
              </w:rPr>
              <w:drawing>
                <wp:anchor distT="0" distB="0" distL="114300" distR="114300" simplePos="0" relativeHeight="251774976" behindDoc="0" locked="0" layoutInCell="1" allowOverlap="1">
                  <wp:simplePos x="0" y="0"/>
                  <wp:positionH relativeFrom="column">
                    <wp:posOffset>198120</wp:posOffset>
                  </wp:positionH>
                  <wp:positionV relativeFrom="paragraph">
                    <wp:posOffset>73660</wp:posOffset>
                  </wp:positionV>
                  <wp:extent cx="584835" cy="690880"/>
                  <wp:effectExtent l="0" t="0" r="571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4835" cy="690880"/>
                          </a:xfrm>
                          <a:prstGeom prst="rect">
                            <a:avLst/>
                          </a:prstGeom>
                          <a:noFill/>
                          <a:ln>
                            <a:noFill/>
                          </a:ln>
                        </pic:spPr>
                      </pic:pic>
                    </a:graphicData>
                  </a:graphic>
                </wp:anchor>
              </w:drawing>
            </w:r>
          </w:p>
        </w:tc>
        <w:tc>
          <w:tcPr>
            <w:tcW w:w="1618" w:type="dxa"/>
            <w:vMerge w:val="restart"/>
          </w:tcPr>
          <w:p>
            <w:pPr>
              <w:pStyle w:val="30"/>
              <w:spacing w:line="420" w:lineRule="exact"/>
              <w:ind w:firstLine="0"/>
              <w:rPr>
                <w:rFonts w:ascii="仿宋" w:hAnsi="仿宋" w:eastAsia="仿宋" w:cs="仿宋"/>
                <w:color w:val="auto"/>
              </w:rPr>
            </w:pPr>
            <w:r>
              <w:rPr>
                <w:rFonts w:hint="eastAsia" w:ascii="仿宋" w:hAnsi="仿宋" w:eastAsia="仿宋" w:cs="仿宋"/>
                <w:color w:val="auto"/>
              </w:rPr>
              <w:drawing>
                <wp:anchor distT="0" distB="0" distL="114300" distR="114300" simplePos="0" relativeHeight="251772928" behindDoc="0" locked="0" layoutInCell="1" allowOverlap="1">
                  <wp:simplePos x="0" y="0"/>
                  <wp:positionH relativeFrom="column">
                    <wp:posOffset>128905</wp:posOffset>
                  </wp:positionH>
                  <wp:positionV relativeFrom="paragraph">
                    <wp:posOffset>730885</wp:posOffset>
                  </wp:positionV>
                  <wp:extent cx="595630" cy="755015"/>
                  <wp:effectExtent l="0" t="0" r="0" b="698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5630" cy="7550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1269" w:type="dxa"/>
            <w:vMerge w:val="continue"/>
          </w:tcPr>
          <w:p>
            <w:pPr>
              <w:pStyle w:val="30"/>
              <w:spacing w:line="420" w:lineRule="exact"/>
              <w:ind w:firstLine="0"/>
              <w:jc w:val="center"/>
              <w:rPr>
                <w:rFonts w:ascii="仿宋" w:hAnsi="仿宋" w:eastAsia="仿宋" w:cs="仿宋"/>
                <w:color w:val="auto"/>
                <w:szCs w:val="24"/>
              </w:rPr>
            </w:pPr>
          </w:p>
        </w:tc>
        <w:tc>
          <w:tcPr>
            <w:tcW w:w="1674" w:type="dxa"/>
          </w:tcPr>
          <w:p>
            <w:pPr>
              <w:pStyle w:val="30"/>
              <w:spacing w:line="420" w:lineRule="exact"/>
              <w:ind w:firstLine="0"/>
              <w:rPr>
                <w:rFonts w:ascii="仿宋" w:hAnsi="仿宋" w:eastAsia="仿宋" w:cs="仿宋"/>
                <w:color w:val="auto"/>
              </w:rPr>
            </w:pPr>
            <w:r>
              <w:rPr>
                <w:rFonts w:hint="eastAsia" w:ascii="仿宋" w:hAnsi="仿宋" w:eastAsia="仿宋" w:cs="仿宋"/>
              </w:rPr>
              <w:drawing>
                <wp:anchor distT="0" distB="0" distL="114300" distR="114300" simplePos="0" relativeHeight="251777024" behindDoc="0" locked="0" layoutInCell="1" allowOverlap="1">
                  <wp:simplePos x="0" y="0"/>
                  <wp:positionH relativeFrom="column">
                    <wp:posOffset>185420</wp:posOffset>
                  </wp:positionH>
                  <wp:positionV relativeFrom="paragraph">
                    <wp:posOffset>184150</wp:posOffset>
                  </wp:positionV>
                  <wp:extent cx="509905" cy="495935"/>
                  <wp:effectExtent l="0" t="0" r="4445"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9905" cy="495740"/>
                          </a:xfrm>
                          <a:prstGeom prst="rect">
                            <a:avLst/>
                          </a:prstGeom>
                          <a:noFill/>
                          <a:ln>
                            <a:noFill/>
                          </a:ln>
                        </pic:spPr>
                      </pic:pic>
                    </a:graphicData>
                  </a:graphic>
                </wp:anchor>
              </w:drawing>
            </w:r>
          </w:p>
        </w:tc>
        <w:tc>
          <w:tcPr>
            <w:tcW w:w="2106" w:type="dxa"/>
            <w:vMerge w:val="continue"/>
            <w:tcBorders>
              <w:right w:val="single" w:color="auto" w:sz="8" w:space="0"/>
            </w:tcBorders>
          </w:tcPr>
          <w:p>
            <w:pPr>
              <w:pStyle w:val="30"/>
              <w:spacing w:line="420" w:lineRule="exact"/>
              <w:ind w:firstLine="0"/>
              <w:rPr>
                <w:rFonts w:ascii="仿宋" w:hAnsi="仿宋" w:eastAsia="仿宋" w:cs="仿宋"/>
                <w:color w:val="auto"/>
              </w:rPr>
            </w:pPr>
          </w:p>
        </w:tc>
        <w:tc>
          <w:tcPr>
            <w:tcW w:w="1874" w:type="dxa"/>
            <w:tcBorders>
              <w:left w:val="single" w:color="auto" w:sz="8" w:space="0"/>
            </w:tcBorders>
          </w:tcPr>
          <w:p>
            <w:pPr>
              <w:pStyle w:val="30"/>
              <w:spacing w:line="420" w:lineRule="exact"/>
              <w:ind w:firstLine="0"/>
              <w:rPr>
                <w:rFonts w:ascii="仿宋" w:hAnsi="仿宋" w:eastAsia="仿宋" w:cs="仿宋"/>
                <w:color w:val="auto"/>
              </w:rPr>
            </w:pPr>
            <w:r>
              <w:rPr>
                <w:rFonts w:hint="eastAsia" w:ascii="仿宋" w:hAnsi="仿宋" w:eastAsia="仿宋" w:cs="仿宋"/>
              </w:rPr>
              <w:drawing>
                <wp:anchor distT="0" distB="0" distL="114300" distR="114300" simplePos="0" relativeHeight="251785216" behindDoc="0" locked="0" layoutInCell="1" allowOverlap="1">
                  <wp:simplePos x="0" y="0"/>
                  <wp:positionH relativeFrom="column">
                    <wp:posOffset>255270</wp:posOffset>
                  </wp:positionH>
                  <wp:positionV relativeFrom="paragraph">
                    <wp:posOffset>115570</wp:posOffset>
                  </wp:positionV>
                  <wp:extent cx="467360" cy="61531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360" cy="615315"/>
                          </a:xfrm>
                          <a:prstGeom prst="rect">
                            <a:avLst/>
                          </a:prstGeom>
                          <a:noFill/>
                          <a:ln>
                            <a:noFill/>
                          </a:ln>
                        </pic:spPr>
                      </pic:pic>
                    </a:graphicData>
                  </a:graphic>
                </wp:anchor>
              </w:drawing>
            </w:r>
          </w:p>
        </w:tc>
        <w:tc>
          <w:tcPr>
            <w:tcW w:w="1618" w:type="dxa"/>
            <w:vMerge w:val="continue"/>
          </w:tcPr>
          <w:p>
            <w:pPr>
              <w:pStyle w:val="30"/>
              <w:spacing w:line="420" w:lineRule="exact"/>
              <w:ind w:firstLine="0"/>
              <w:rPr>
                <w:rFonts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w:t>
            </w:r>
          </w:p>
        </w:tc>
        <w:tc>
          <w:tcPr>
            <w:tcW w:w="3780" w:type="dxa"/>
            <w:gridSpan w:val="2"/>
            <w:tcBorders>
              <w:right w:val="single" w:color="auto" w:sz="8" w:space="0"/>
            </w:tcBorders>
          </w:tcPr>
          <w:p>
            <w:pPr>
              <w:pStyle w:val="30"/>
              <w:numPr>
                <w:ilvl w:val="3"/>
                <w:numId w:val="19"/>
              </w:numPr>
              <w:spacing w:line="420" w:lineRule="exact"/>
              <w:rPr>
                <w:rFonts w:ascii="仿宋" w:hAnsi="仿宋" w:eastAsia="仿宋" w:cs="仿宋"/>
                <w:color w:val="auto"/>
                <w:szCs w:val="24"/>
              </w:rPr>
            </w:pPr>
            <w:r>
              <w:rPr>
                <w:rFonts w:hint="eastAsia" w:ascii="仿宋" w:hAnsi="仿宋" w:eastAsia="仿宋" w:cs="仿宋"/>
                <w:color w:val="auto"/>
                <w:szCs w:val="24"/>
              </w:rPr>
              <w:t>M06放置方式：</w:t>
            </w:r>
          </w:p>
          <w:p>
            <w:pPr>
              <w:pStyle w:val="30"/>
              <w:numPr>
                <w:ilvl w:val="0"/>
                <w:numId w:val="20"/>
              </w:numPr>
              <w:spacing w:line="420" w:lineRule="exact"/>
              <w:rPr>
                <w:rFonts w:ascii="仿宋" w:hAnsi="仿宋" w:eastAsia="仿宋" w:cs="仿宋"/>
                <w:color w:val="auto"/>
                <w:szCs w:val="24"/>
              </w:rPr>
            </w:pPr>
            <w:r>
              <w:rPr>
                <w:rFonts w:hint="eastAsia" w:ascii="仿宋" w:hAnsi="仿宋" w:eastAsia="仿宋" w:cs="仿宋"/>
                <w:color w:val="auto"/>
                <w:szCs w:val="24"/>
              </w:rPr>
              <w:t>U型支架A面贴有布基双面胶；</w:t>
            </w:r>
          </w:p>
          <w:p>
            <w:pPr>
              <w:pStyle w:val="30"/>
              <w:numPr>
                <w:ilvl w:val="0"/>
                <w:numId w:val="20"/>
              </w:numPr>
              <w:spacing w:line="420" w:lineRule="exact"/>
              <w:rPr>
                <w:rFonts w:ascii="仿宋" w:hAnsi="仿宋" w:eastAsia="仿宋" w:cs="仿宋"/>
                <w:color w:val="auto"/>
                <w:szCs w:val="24"/>
              </w:rPr>
            </w:pPr>
            <w:r>
              <w:rPr>
                <w:rFonts w:hint="eastAsia" w:ascii="仿宋" w:hAnsi="仿宋" w:eastAsia="仿宋" w:cs="仿宋"/>
                <w:color w:val="auto"/>
                <w:szCs w:val="24"/>
              </w:rPr>
              <w:t>A面朝下完全进入较大矩形线框内；</w:t>
            </w:r>
          </w:p>
          <w:p>
            <w:pPr>
              <w:pStyle w:val="30"/>
              <w:numPr>
                <w:ilvl w:val="0"/>
                <w:numId w:val="20"/>
              </w:numPr>
              <w:spacing w:line="420" w:lineRule="exact"/>
              <w:rPr>
                <w:rFonts w:ascii="仿宋" w:hAnsi="仿宋" w:eastAsia="仿宋" w:cs="仿宋"/>
                <w:color w:val="auto"/>
                <w:szCs w:val="24"/>
              </w:rPr>
            </w:pPr>
            <w:r>
              <w:rPr>
                <w:rFonts w:hint="eastAsia" w:ascii="仿宋" w:hAnsi="仿宋" w:eastAsia="仿宋" w:cs="仿宋"/>
                <w:color w:val="auto"/>
                <w:szCs w:val="24"/>
              </w:rPr>
              <w:t>B面朝向手动区域方向。</w:t>
            </w:r>
          </w:p>
        </w:tc>
        <w:tc>
          <w:tcPr>
            <w:tcW w:w="3492" w:type="dxa"/>
            <w:gridSpan w:val="2"/>
            <w:tcBorders>
              <w:left w:val="single" w:color="auto" w:sz="8" w:space="0"/>
            </w:tcBorders>
          </w:tcPr>
          <w:p>
            <w:pPr>
              <w:pStyle w:val="30"/>
              <w:numPr>
                <w:ilvl w:val="3"/>
                <w:numId w:val="19"/>
              </w:numPr>
              <w:spacing w:line="420" w:lineRule="exact"/>
              <w:rPr>
                <w:rFonts w:ascii="仿宋" w:hAnsi="仿宋" w:eastAsia="仿宋" w:cs="仿宋"/>
                <w:color w:val="auto"/>
                <w:szCs w:val="24"/>
              </w:rPr>
            </w:pPr>
            <w:r>
              <w:rPr>
                <w:rFonts w:hint="eastAsia" w:ascii="仿宋" w:hAnsi="仿宋" w:eastAsia="仿宋" w:cs="仿宋"/>
                <w:color w:val="auto"/>
                <w:szCs w:val="24"/>
              </w:rPr>
              <w:t>M07放置方式：</w:t>
            </w:r>
          </w:p>
          <w:p>
            <w:pPr>
              <w:pStyle w:val="30"/>
              <w:numPr>
                <w:ilvl w:val="0"/>
                <w:numId w:val="21"/>
              </w:numPr>
              <w:spacing w:line="420" w:lineRule="exact"/>
              <w:rPr>
                <w:rFonts w:ascii="仿宋" w:hAnsi="仿宋" w:eastAsia="仿宋" w:cs="仿宋"/>
                <w:color w:val="auto"/>
                <w:szCs w:val="24"/>
              </w:rPr>
            </w:pPr>
            <w:r>
              <w:rPr>
                <w:rFonts w:hint="eastAsia" w:ascii="仿宋" w:hAnsi="仿宋" w:eastAsia="仿宋" w:cs="仿宋"/>
                <w:color w:val="auto"/>
                <w:szCs w:val="24"/>
              </w:rPr>
              <w:t>U型支架C面朝下；</w:t>
            </w:r>
          </w:p>
          <w:p>
            <w:pPr>
              <w:pStyle w:val="30"/>
              <w:numPr>
                <w:ilvl w:val="0"/>
                <w:numId w:val="21"/>
              </w:numPr>
              <w:spacing w:line="420" w:lineRule="exact"/>
              <w:rPr>
                <w:rFonts w:ascii="仿宋" w:hAnsi="仿宋" w:eastAsia="仿宋" w:cs="仿宋"/>
                <w:color w:val="auto"/>
                <w:szCs w:val="24"/>
              </w:rPr>
            </w:pPr>
            <w:r>
              <w:rPr>
                <w:rFonts w:hint="eastAsia" w:ascii="仿宋" w:hAnsi="仿宋" w:eastAsia="仿宋" w:cs="仿宋"/>
                <w:color w:val="auto"/>
                <w:szCs w:val="24"/>
              </w:rPr>
              <w:t>C面完全进入较小矩形线框内；</w:t>
            </w:r>
          </w:p>
          <w:p>
            <w:pPr>
              <w:pStyle w:val="30"/>
              <w:numPr>
                <w:ilvl w:val="0"/>
                <w:numId w:val="21"/>
              </w:numPr>
              <w:spacing w:line="420" w:lineRule="exact"/>
              <w:rPr>
                <w:rFonts w:ascii="仿宋" w:hAnsi="仿宋" w:eastAsia="仿宋" w:cs="仿宋"/>
                <w:color w:val="auto"/>
                <w:szCs w:val="24"/>
              </w:rPr>
            </w:pPr>
            <w:r>
              <w:rPr>
                <w:rFonts w:hint="eastAsia" w:ascii="仿宋" w:hAnsi="仿宋" w:eastAsia="仿宋" w:cs="仿宋"/>
                <w:color w:val="auto"/>
                <w:szCs w:val="24"/>
              </w:rPr>
              <w:t>A面朝向手动区方向。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任务目标</w:t>
            </w:r>
          </w:p>
        </w:tc>
        <w:tc>
          <w:tcPr>
            <w:tcW w:w="7272" w:type="dxa"/>
            <w:gridSpan w:val="4"/>
          </w:tcPr>
          <w:p>
            <w:pPr>
              <w:pStyle w:val="30"/>
              <w:spacing w:line="420" w:lineRule="exact"/>
              <w:ind w:firstLine="0"/>
              <w:rPr>
                <w:rFonts w:ascii="仿宋" w:hAnsi="仿宋" w:eastAsia="仿宋" w:cs="仿宋"/>
                <w:color w:val="auto"/>
                <w:szCs w:val="24"/>
              </w:rPr>
            </w:pPr>
            <w:r>
              <w:rPr>
                <w:rFonts w:hint="eastAsia" w:ascii="仿宋" w:hAnsi="仿宋" w:eastAsia="仿宋" w:cs="仿宋"/>
                <w:color w:val="auto"/>
                <w:szCs w:val="24"/>
              </w:rPr>
              <w:t>机器人运行自动程序使绿色小球掉入比赛场地，同时使得白色小球在自动阶段结束后仍位于初始位置。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任务得分</w:t>
            </w:r>
          </w:p>
        </w:tc>
        <w:tc>
          <w:tcPr>
            <w:tcW w:w="7272" w:type="dxa"/>
            <w:gridSpan w:val="4"/>
          </w:tcPr>
          <w:p>
            <w:pPr>
              <w:pStyle w:val="30"/>
              <w:numPr>
                <w:ilvl w:val="0"/>
                <w:numId w:val="22"/>
              </w:numPr>
              <w:tabs>
                <w:tab w:val="left" w:pos="870"/>
              </w:tabs>
              <w:spacing w:line="420" w:lineRule="exact"/>
              <w:rPr>
                <w:rFonts w:ascii="仿宋" w:hAnsi="仿宋" w:eastAsia="仿宋" w:cs="仿宋"/>
                <w:color w:val="auto"/>
              </w:rPr>
            </w:pPr>
            <w:r>
              <w:rPr>
                <w:rFonts w:hint="eastAsia" w:ascii="仿宋" w:hAnsi="仿宋" w:eastAsia="仿宋" w:cs="仿宋"/>
                <w:color w:val="auto"/>
              </w:rPr>
              <w:t>绿色小球，掉落每个20分。</w:t>
            </w:r>
          </w:p>
          <w:p>
            <w:pPr>
              <w:pStyle w:val="30"/>
              <w:numPr>
                <w:ilvl w:val="0"/>
                <w:numId w:val="22"/>
              </w:numPr>
              <w:tabs>
                <w:tab w:val="left" w:pos="870"/>
              </w:tabs>
              <w:spacing w:line="420" w:lineRule="exact"/>
              <w:rPr>
                <w:rFonts w:ascii="仿宋" w:hAnsi="仿宋" w:eastAsia="仿宋" w:cs="仿宋"/>
                <w:color w:val="auto"/>
              </w:rPr>
            </w:pPr>
            <w:r>
              <w:rPr>
                <w:rFonts w:hint="eastAsia" w:ascii="仿宋" w:hAnsi="仿宋" w:eastAsia="仿宋" w:cs="仿宋"/>
                <w:color w:val="auto"/>
              </w:rPr>
              <w:t xml:space="preserve">白色小球须位于初始位置，否则整个任务不得分。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Merge w:val="restart"/>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得分判定</w:t>
            </w:r>
          </w:p>
        </w:tc>
        <w:tc>
          <w:tcPr>
            <w:tcW w:w="7272" w:type="dxa"/>
            <w:gridSpan w:val="4"/>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1.自动控制阶段结束后，白色小球位于初始位置，同时绿色小球接触比赛场地，包括地图（自动区和手动区）、赛台、赛台边框内侧或上表面），不包括机器人以及赛台边框外的桌面、地面等即可得分。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1269" w:type="dxa"/>
            <w:vMerge w:val="continue"/>
          </w:tcPr>
          <w:p>
            <w:pPr>
              <w:pStyle w:val="30"/>
              <w:spacing w:line="420" w:lineRule="exact"/>
              <w:ind w:firstLine="0"/>
              <w:jc w:val="center"/>
              <w:rPr>
                <w:rFonts w:ascii="仿宋" w:hAnsi="仿宋" w:eastAsia="仿宋" w:cs="仿宋"/>
                <w:color w:val="auto"/>
                <w:szCs w:val="24"/>
              </w:rPr>
            </w:pPr>
          </w:p>
        </w:tc>
        <w:tc>
          <w:tcPr>
            <w:tcW w:w="7272" w:type="dxa"/>
            <w:gridSpan w:val="4"/>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 xml:space="preserve">*初始位置判定：蓝色金属道具的投影须部分位于框线内 </w:t>
            </w:r>
          </w:p>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drawing>
                <wp:anchor distT="0" distB="0" distL="114300" distR="114300" simplePos="0" relativeHeight="251789312" behindDoc="0" locked="0" layoutInCell="1" allowOverlap="1">
                  <wp:simplePos x="0" y="0"/>
                  <wp:positionH relativeFrom="column">
                    <wp:posOffset>0</wp:posOffset>
                  </wp:positionH>
                  <wp:positionV relativeFrom="paragraph">
                    <wp:posOffset>348615</wp:posOffset>
                  </wp:positionV>
                  <wp:extent cx="753110" cy="861695"/>
                  <wp:effectExtent l="0" t="0" r="8890" b="0"/>
                  <wp:wrapTopAndBottom/>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753110" cy="861695"/>
                          </a:xfrm>
                          <a:prstGeom prst="rect">
                            <a:avLst/>
                          </a:prstGeom>
                          <a:noFill/>
                          <a:ln>
                            <a:noFill/>
                          </a:ln>
                        </pic:spPr>
                      </pic:pic>
                    </a:graphicData>
                  </a:graphic>
                </wp:anchor>
              </w:drawing>
            </w:r>
            <w:r>
              <w:rPr>
                <w:rFonts w:hint="eastAsia" w:ascii="仿宋" w:hAnsi="仿宋" w:eastAsia="仿宋" w:cs="仿宋"/>
                <w:color w:val="auto"/>
                <w:szCs w:val="24"/>
              </w:rPr>
              <w:t xml:space="preserve">(框线即指如图所示绿色加粗外框线，如下图所示)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备注</w:t>
            </w:r>
          </w:p>
        </w:tc>
        <w:tc>
          <w:tcPr>
            <w:tcW w:w="7272" w:type="dxa"/>
            <w:gridSpan w:val="4"/>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1.白色小球一旦掉落，裁判须立刻将白色小球移出赛台。</w:t>
            </w:r>
          </w:p>
          <w:p>
            <w:pPr>
              <w:pStyle w:val="30"/>
              <w:tabs>
                <w:tab w:val="left" w:pos="960"/>
              </w:tabs>
              <w:spacing w:line="420" w:lineRule="exact"/>
              <w:ind w:firstLine="0"/>
              <w:rPr>
                <w:rFonts w:ascii="仿宋" w:hAnsi="仿宋" w:eastAsia="仿宋" w:cs="仿宋"/>
                <w:color w:val="FF0000"/>
                <w:szCs w:val="24"/>
              </w:rPr>
            </w:pPr>
            <w:r>
              <w:rPr>
                <w:rFonts w:hint="eastAsia" w:ascii="仿宋" w:hAnsi="仿宋" w:eastAsia="仿宋" w:cs="仿宋"/>
                <w:color w:val="auto"/>
                <w:szCs w:val="24"/>
              </w:rPr>
              <w:t>2.白色，绿色小球作为场地道具的一种，其判罚规则与其他道具相同，举例：当选手对白色，绿色小球产生直接或间接接触行为，则触发违例扣分，同时白色，绿色小球须被移除出场外。</w:t>
            </w:r>
          </w:p>
        </w:tc>
      </w:tr>
    </w:tbl>
    <w:p>
      <w:pPr>
        <w:widowControl/>
        <w:spacing w:line="420" w:lineRule="exact"/>
        <w:rPr>
          <w:rFonts w:ascii="仿宋" w:hAnsi="仿宋" w:eastAsia="仿宋" w:cs="仿宋"/>
          <w:kern w:val="0"/>
          <w:sz w:val="24"/>
          <w:szCs w:val="18"/>
        </w:rPr>
      </w:pPr>
    </w:p>
    <w:p>
      <w:pPr>
        <w:widowControl/>
        <w:spacing w:line="420" w:lineRule="exact"/>
        <w:ind w:firstLine="480" w:firstLineChars="200"/>
        <w:rPr>
          <w:rFonts w:ascii="仿宋" w:hAnsi="仿宋" w:eastAsia="仿宋" w:cs="仿宋"/>
          <w:kern w:val="0"/>
          <w:sz w:val="24"/>
          <w:szCs w:val="18"/>
        </w:rPr>
      </w:pPr>
      <w:r>
        <w:rPr>
          <w:rFonts w:hint="eastAsia" w:ascii="仿宋" w:hAnsi="仿宋" w:eastAsia="仿宋" w:cs="仿宋"/>
          <w:kern w:val="0"/>
          <w:sz w:val="24"/>
          <w:szCs w:val="18"/>
        </w:rPr>
        <w:t>M08 开启低架基站及M09 开启高架基站摆放区域相同。红蓝双方在比赛中要完成的任务将在比赛开始前由组委会决定并公布。基本介绍如下：</w:t>
      </w:r>
    </w:p>
    <w:tbl>
      <w:tblPr>
        <w:tblStyle w:val="18"/>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544"/>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64"/>
              <w:spacing w:line="420" w:lineRule="exact"/>
              <w:jc w:val="center"/>
              <w:rPr>
                <w:rFonts w:ascii="仿宋" w:hAnsi="仿宋" w:eastAsia="仿宋" w:cs="仿宋"/>
              </w:rPr>
            </w:pPr>
            <w:r>
              <w:rPr>
                <w:rFonts w:hint="eastAsia" w:ascii="仿宋" w:hAnsi="仿宋" w:eastAsia="仿宋" w:cs="仿宋"/>
              </w:rPr>
              <w:t>联盟任务</w:t>
            </w:r>
          </w:p>
        </w:tc>
        <w:tc>
          <w:tcPr>
            <w:tcW w:w="3544"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M08</w:t>
            </w:r>
            <w:r>
              <w:rPr>
                <w:rFonts w:hint="eastAsia" w:ascii="仿宋" w:hAnsi="仿宋" w:eastAsia="仿宋" w:cs="仿宋"/>
                <w:kern w:val="0"/>
                <w:szCs w:val="18"/>
              </w:rPr>
              <w:t>开启低架基站</w:t>
            </w:r>
          </w:p>
        </w:tc>
        <w:tc>
          <w:tcPr>
            <w:tcW w:w="3487"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kern w:val="0"/>
                <w:szCs w:val="18"/>
              </w:rPr>
              <w:t>M09 开启高架基站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任务背景</w:t>
            </w:r>
          </w:p>
        </w:tc>
        <w:tc>
          <w:tcPr>
            <w:tcW w:w="3544"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城市里有低架基站，负责覆盖一片城市区域收集城市数据，机器人需要开启低架基站。</w:t>
            </w:r>
          </w:p>
        </w:tc>
        <w:tc>
          <w:tcPr>
            <w:tcW w:w="3487"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城市里有高架基站，负责与卫星的通信收集太空数据，机器人需要开启高架基站。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道具放置示意图</w:t>
            </w:r>
          </w:p>
        </w:tc>
        <w:tc>
          <w:tcPr>
            <w:tcW w:w="3544" w:type="dxa"/>
            <w:vAlign w:val="center"/>
          </w:tcPr>
          <w:p>
            <w:pPr>
              <w:pStyle w:val="30"/>
              <w:ind w:firstLine="0"/>
              <w:jc w:val="center"/>
              <w:rPr>
                <w:rFonts w:ascii="仿宋" w:hAnsi="仿宋" w:eastAsia="仿宋" w:cs="仿宋"/>
                <w:color w:val="auto"/>
                <w:szCs w:val="24"/>
              </w:rPr>
            </w:pPr>
            <w:r>
              <w:rPr>
                <w:rFonts w:hint="eastAsia" w:ascii="仿宋" w:hAnsi="仿宋" w:eastAsia="仿宋" w:cs="仿宋"/>
                <w:kern w:val="0"/>
                <w:sz w:val="18"/>
                <w:szCs w:val="18"/>
              </w:rPr>
              <w:drawing>
                <wp:inline distT="0" distB="0" distL="0" distR="0">
                  <wp:extent cx="942975" cy="942975"/>
                  <wp:effectExtent l="0" t="0" r="0" b="0"/>
                  <wp:docPr id="199" name="图片 199" descr="C:\Users\s10086\Desktop\正式规则\设计相关\配图\配图制作\Starter_02\Starter_01_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s10086\Desktop\正式规则\设计相关\配图\配图制作\Starter_02\Starter_01_003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42975" cy="942975"/>
                          </a:xfrm>
                          <a:prstGeom prst="rect">
                            <a:avLst/>
                          </a:prstGeom>
                          <a:noFill/>
                          <a:ln>
                            <a:noFill/>
                          </a:ln>
                        </pic:spPr>
                      </pic:pic>
                    </a:graphicData>
                  </a:graphic>
                </wp:inline>
              </w:drawing>
            </w:r>
          </w:p>
        </w:tc>
        <w:tc>
          <w:tcPr>
            <w:tcW w:w="3487" w:type="dxa"/>
          </w:tcPr>
          <w:p>
            <w:pPr>
              <w:pStyle w:val="30"/>
              <w:ind w:firstLine="0"/>
              <w:jc w:val="center"/>
              <w:rPr>
                <w:rFonts w:ascii="仿宋" w:hAnsi="仿宋" w:eastAsia="仿宋" w:cs="仿宋"/>
                <w:color w:val="auto"/>
                <w:szCs w:val="24"/>
              </w:rPr>
            </w:pPr>
            <w:r>
              <w:rPr>
                <w:rStyle w:val="61"/>
                <w:rFonts w:hint="eastAsia" w:ascii="仿宋" w:hAnsi="仿宋" w:eastAsia="仿宋" w:cs="仿宋"/>
                <w:kern w:val="0"/>
                <w:sz w:val="18"/>
                <w:szCs w:val="18"/>
              </w:rPr>
              <w:drawing>
                <wp:inline distT="0" distB="0" distL="0" distR="0">
                  <wp:extent cx="970915" cy="1164590"/>
                  <wp:effectExtent l="0" t="0" r="0" b="0"/>
                  <wp:docPr id="203" name="图片 203" descr="C:\Users\s10086\Desktop\正式规则\设计相关\配图\配图制作\Starter_02\Starter_01_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s10086\Desktop\正式规则\设计相关\配图\配图制作\Starter_02\Starter_01_003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75670" cy="117085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初始状态示意图</w:t>
            </w:r>
          </w:p>
        </w:tc>
        <w:tc>
          <w:tcPr>
            <w:tcW w:w="7031" w:type="dxa"/>
            <w:gridSpan w:val="2"/>
          </w:tcPr>
          <w:p>
            <w:pPr>
              <w:pStyle w:val="30"/>
              <w:ind w:firstLine="0"/>
              <w:jc w:val="center"/>
              <w:rPr>
                <w:rFonts w:ascii="仿宋" w:hAnsi="仿宋" w:eastAsia="仿宋" w:cs="仿宋"/>
                <w:color w:val="auto"/>
                <w:szCs w:val="24"/>
              </w:rPr>
            </w:pPr>
            <w:r>
              <w:rPr>
                <w:rFonts w:hint="eastAsia" w:ascii="仿宋" w:hAnsi="仿宋" w:eastAsia="仿宋" w:cs="仿宋"/>
                <w:color w:val="auto"/>
                <w:szCs w:val="24"/>
              </w:rPr>
              <w:t xml:space="preserve">  </w:t>
            </w:r>
            <w:r>
              <w:rPr>
                <w:rFonts w:hint="eastAsia" w:ascii="仿宋" w:hAnsi="仿宋" w:eastAsia="仿宋" w:cs="仿宋"/>
              </w:rPr>
              <w:drawing>
                <wp:inline distT="0" distB="0" distL="0" distR="0">
                  <wp:extent cx="1300480" cy="1228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1309998" cy="1237220"/>
                          </a:xfrm>
                          <a:prstGeom prst="rect">
                            <a:avLst/>
                          </a:prstGeom>
                        </pic:spPr>
                      </pic:pic>
                    </a:graphicData>
                  </a:graphic>
                </wp:inline>
              </w:drawing>
            </w:r>
            <w:r>
              <w:rPr>
                <w:rFonts w:hint="eastAsia" w:ascii="仿宋" w:hAnsi="仿宋" w:eastAsia="仿宋" w:cs="仿宋"/>
                <w:color w:val="auto"/>
                <w:szCs w:val="24"/>
              </w:rPr>
              <w:t xml:space="preserve">           </w:t>
            </w:r>
            <w:r>
              <w:rPr>
                <w:rFonts w:hint="eastAsia" w:ascii="仿宋" w:hAnsi="仿宋" w:eastAsia="仿宋" w:cs="仿宋"/>
                <w:sz w:val="21"/>
                <w:szCs w:val="18"/>
              </w:rPr>
              <w:drawing>
                <wp:inline distT="0" distB="0" distL="0" distR="0">
                  <wp:extent cx="1238885" cy="1243965"/>
                  <wp:effectExtent l="0" t="0" r="0" b="0"/>
                  <wp:docPr id="20" name="图片 20" descr="C:\Users\s10086\AppData\Roaming\DingTalk\521524723_v2\ImageFiles\1582162927907_6809ACD4-717B-4872-9D8A-03D3BBAC4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s10086\AppData\Roaming\DingTalk\521524723_v2\ImageFiles\1582162927907_6809ACD4-717B-4872-9D8A-03D3BBAC48E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238885" cy="1243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w:t>
            </w:r>
          </w:p>
        </w:tc>
        <w:tc>
          <w:tcPr>
            <w:tcW w:w="7031" w:type="dxa"/>
            <w:gridSpan w:val="2"/>
          </w:tcPr>
          <w:p>
            <w:pPr>
              <w:pStyle w:val="30"/>
              <w:numPr>
                <w:ilvl w:val="3"/>
                <w:numId w:val="23"/>
              </w:numPr>
              <w:spacing w:line="420" w:lineRule="exact"/>
              <w:rPr>
                <w:rFonts w:ascii="仿宋" w:hAnsi="仿宋" w:eastAsia="仿宋" w:cs="仿宋"/>
                <w:color w:val="auto"/>
                <w:szCs w:val="24"/>
              </w:rPr>
            </w:pPr>
            <w:r>
              <w:rPr>
                <w:rFonts w:hint="eastAsia" w:ascii="仿宋" w:hAnsi="仿宋" w:eastAsia="仿宋" w:cs="仿宋"/>
                <w:color w:val="auto"/>
                <w:szCs w:val="24"/>
              </w:rPr>
              <w:t>M08使用低支架，M09使用高支架；</w:t>
            </w:r>
          </w:p>
          <w:p>
            <w:pPr>
              <w:pStyle w:val="30"/>
              <w:numPr>
                <w:ilvl w:val="3"/>
                <w:numId w:val="23"/>
              </w:numPr>
              <w:spacing w:line="420" w:lineRule="exact"/>
              <w:rPr>
                <w:rFonts w:ascii="仿宋" w:hAnsi="仿宋" w:eastAsia="仿宋" w:cs="仿宋"/>
                <w:color w:val="auto"/>
                <w:szCs w:val="24"/>
              </w:rPr>
            </w:pPr>
            <w:r>
              <w:rPr>
                <w:rFonts w:hint="eastAsia" w:ascii="仿宋" w:hAnsi="仿宋" w:eastAsia="仿宋" w:cs="仿宋"/>
                <w:color w:val="auto"/>
                <w:szCs w:val="24"/>
              </w:rPr>
              <w:t>支架底面完全进入矩形线框内；</w:t>
            </w:r>
          </w:p>
          <w:p>
            <w:pPr>
              <w:pStyle w:val="30"/>
              <w:numPr>
                <w:ilvl w:val="3"/>
                <w:numId w:val="23"/>
              </w:numPr>
              <w:spacing w:line="420" w:lineRule="exact"/>
              <w:rPr>
                <w:rFonts w:ascii="仿宋" w:hAnsi="仿宋" w:eastAsia="仿宋" w:cs="仿宋"/>
                <w:color w:val="auto"/>
                <w:szCs w:val="24"/>
              </w:rPr>
            </w:pPr>
            <w:r>
              <w:rPr>
                <w:rFonts w:hint="eastAsia" w:ascii="仿宋" w:hAnsi="仿宋" w:eastAsia="仿宋" w:cs="仿宋"/>
                <w:color w:val="auto"/>
                <w:szCs w:val="24"/>
              </w:rPr>
              <w:t>支架两侧的双孔梁须与左右两侧的引导线平行，如上图表注的红色线条；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任务目标</w:t>
            </w:r>
          </w:p>
        </w:tc>
        <w:tc>
          <w:tcPr>
            <w:tcW w:w="7031" w:type="dxa"/>
            <w:gridSpan w:val="2"/>
          </w:tcPr>
          <w:p>
            <w:pPr>
              <w:pStyle w:val="30"/>
              <w:spacing w:line="420" w:lineRule="exact"/>
              <w:ind w:firstLine="0"/>
              <w:rPr>
                <w:rFonts w:ascii="仿宋" w:hAnsi="仿宋" w:eastAsia="仿宋" w:cs="仿宋"/>
                <w:color w:val="auto"/>
                <w:szCs w:val="24"/>
              </w:rPr>
            </w:pPr>
            <w:r>
              <w:rPr>
                <w:rFonts w:hint="eastAsia" w:ascii="仿宋" w:hAnsi="仿宋" w:eastAsia="仿宋" w:cs="仿宋"/>
                <w:color w:val="auto"/>
                <w:szCs w:val="24"/>
              </w:rPr>
              <w:t>机器人运行自动程序使黄色大球掉入比赛场地。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任务得分</w:t>
            </w:r>
          </w:p>
        </w:tc>
        <w:tc>
          <w:tcPr>
            <w:tcW w:w="7031" w:type="dxa"/>
            <w:gridSpan w:val="2"/>
          </w:tcPr>
          <w:p>
            <w:pPr>
              <w:pStyle w:val="30"/>
              <w:tabs>
                <w:tab w:val="left" w:pos="870"/>
              </w:tabs>
              <w:spacing w:line="420" w:lineRule="exact"/>
              <w:ind w:firstLine="0"/>
              <w:rPr>
                <w:rFonts w:ascii="仿宋" w:hAnsi="仿宋" w:eastAsia="仿宋" w:cs="仿宋"/>
                <w:color w:val="auto"/>
                <w:szCs w:val="24"/>
              </w:rPr>
            </w:pPr>
            <w:r>
              <w:rPr>
                <w:rFonts w:hint="eastAsia" w:ascii="仿宋" w:hAnsi="仿宋" w:eastAsia="仿宋" w:cs="仿宋"/>
              </w:rPr>
              <w:t>黄色大球共一个，每个30分。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得分判定</w:t>
            </w:r>
          </w:p>
        </w:tc>
        <w:tc>
          <w:tcPr>
            <w:tcW w:w="7031" w:type="dxa"/>
            <w:gridSpan w:val="2"/>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自动控制阶段结束后，黄色大球接触比赛场地，包括地图（自动区和手动区）、赛台、赛台边框内侧或上表面），不包括机器人以及赛台边框外的桌面、地面等。</w:t>
            </w:r>
          </w:p>
        </w:tc>
      </w:tr>
    </w:tbl>
    <w:p>
      <w:pPr>
        <w:widowControl/>
        <w:spacing w:line="420" w:lineRule="exact"/>
        <w:rPr>
          <w:rFonts w:ascii="仿宋" w:hAnsi="仿宋" w:eastAsia="仿宋" w:cs="仿宋"/>
          <w:kern w:val="0"/>
          <w:sz w:val="18"/>
          <w:szCs w:val="18"/>
        </w:rPr>
      </w:pPr>
    </w:p>
    <w:tbl>
      <w:tblPr>
        <w:tblStyle w:val="18"/>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7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Pr>
          <w:p>
            <w:pPr>
              <w:pStyle w:val="64"/>
              <w:spacing w:line="420" w:lineRule="exact"/>
              <w:jc w:val="center"/>
              <w:rPr>
                <w:rFonts w:ascii="仿宋" w:hAnsi="仿宋" w:eastAsia="仿宋" w:cs="仿宋"/>
              </w:rPr>
            </w:pPr>
            <w:r>
              <w:rPr>
                <w:rFonts w:hint="eastAsia" w:ascii="仿宋" w:hAnsi="仿宋" w:eastAsia="仿宋" w:cs="仿宋"/>
              </w:rPr>
              <w:t>联盟任务</w:t>
            </w:r>
          </w:p>
        </w:tc>
        <w:tc>
          <w:tcPr>
            <w:tcW w:w="7097"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M10采集城市数据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任务背景</w:t>
            </w:r>
          </w:p>
        </w:tc>
        <w:tc>
          <w:tcPr>
            <w:tcW w:w="7097" w:type="dxa"/>
          </w:tcPr>
          <w:p>
            <w:pPr>
              <w:pStyle w:val="30"/>
              <w:spacing w:line="420" w:lineRule="exact"/>
              <w:ind w:firstLine="0"/>
              <w:rPr>
                <w:rFonts w:ascii="仿宋" w:hAnsi="仿宋" w:eastAsia="仿宋" w:cs="仿宋"/>
                <w:color w:val="auto"/>
              </w:rPr>
            </w:pPr>
            <w:r>
              <w:rPr>
                <w:rFonts w:hint="eastAsia" w:ascii="仿宋" w:hAnsi="仿宋" w:eastAsia="仿宋" w:cs="仿宋"/>
                <w:color w:val="auto"/>
              </w:rPr>
              <w:t>城市里的每个功能区，都会聚集不同的数据；机器人需将数据小球倾倒进入数据处理中心，视为数据采集成功。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5"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道具放置示意图</w:t>
            </w:r>
          </w:p>
        </w:tc>
        <w:tc>
          <w:tcPr>
            <w:tcW w:w="7097" w:type="dxa"/>
            <w:vAlign w:val="center"/>
          </w:tcPr>
          <w:p>
            <w:pPr>
              <w:pStyle w:val="30"/>
              <w:ind w:firstLine="0"/>
              <w:jc w:val="center"/>
              <w:rPr>
                <w:rFonts w:ascii="仿宋" w:hAnsi="仿宋" w:eastAsia="仿宋" w:cs="仿宋"/>
                <w:color w:val="auto"/>
                <w:szCs w:val="24"/>
              </w:rPr>
            </w:pPr>
            <w:r>
              <w:rPr>
                <w:rFonts w:hint="eastAsia" w:ascii="仿宋" w:hAnsi="仿宋" w:eastAsia="仿宋" w:cs="仿宋"/>
                <w:color w:val="auto"/>
                <w:szCs w:val="24"/>
              </w:rPr>
              <w:drawing>
                <wp:anchor distT="0" distB="0" distL="114300" distR="114300" simplePos="0" relativeHeight="251723776" behindDoc="0" locked="0" layoutInCell="1" allowOverlap="1">
                  <wp:simplePos x="0" y="0"/>
                  <wp:positionH relativeFrom="column">
                    <wp:posOffset>3465830</wp:posOffset>
                  </wp:positionH>
                  <wp:positionV relativeFrom="paragraph">
                    <wp:posOffset>292735</wp:posOffset>
                  </wp:positionV>
                  <wp:extent cx="929640" cy="932180"/>
                  <wp:effectExtent l="0" t="0" r="3810" b="127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9640" cy="932180"/>
                          </a:xfrm>
                          <a:prstGeom prst="rect">
                            <a:avLst/>
                          </a:prstGeom>
                        </pic:spPr>
                      </pic:pic>
                    </a:graphicData>
                  </a:graphic>
                </wp:anchor>
              </w:drawing>
            </w:r>
            <w:r>
              <w:rPr>
                <w:rFonts w:hint="eastAsia" w:ascii="仿宋" w:hAnsi="仿宋" w:eastAsia="仿宋" w:cs="仿宋"/>
                <w:color w:val="auto"/>
                <w:szCs w:val="24"/>
              </w:rPr>
              <w:drawing>
                <wp:inline distT="0" distB="0" distL="0" distR="0">
                  <wp:extent cx="2516505" cy="1239520"/>
                  <wp:effectExtent l="0" t="0" r="13335" b="1016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16505" cy="1239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205"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初始状态</w:t>
            </w:r>
          </w:p>
        </w:tc>
        <w:tc>
          <w:tcPr>
            <w:tcW w:w="7097" w:type="dxa"/>
          </w:tcPr>
          <w:p>
            <w:pPr>
              <w:pStyle w:val="30"/>
              <w:numPr>
                <w:ilvl w:val="0"/>
                <w:numId w:val="24"/>
              </w:numPr>
              <w:spacing w:line="420" w:lineRule="exact"/>
              <w:rPr>
                <w:rFonts w:ascii="仿宋" w:hAnsi="仿宋" w:eastAsia="仿宋" w:cs="仿宋"/>
                <w:color w:val="auto"/>
                <w:szCs w:val="24"/>
              </w:rPr>
            </w:pPr>
            <w:r>
              <w:rPr>
                <w:rFonts w:hint="eastAsia" w:ascii="仿宋" w:hAnsi="仿宋" w:eastAsia="仿宋" w:cs="仿宋"/>
                <w:color w:val="auto"/>
                <w:szCs w:val="24"/>
              </w:rPr>
              <w:t>双孔梁和直角连接片完全进入容器放置点矩形线框内并使用布基双面胶粘贴在地图上；</w:t>
            </w:r>
          </w:p>
          <w:p>
            <w:pPr>
              <w:pStyle w:val="30"/>
              <w:numPr>
                <w:ilvl w:val="0"/>
                <w:numId w:val="24"/>
              </w:numPr>
              <w:spacing w:line="420" w:lineRule="exact"/>
              <w:rPr>
                <w:rFonts w:ascii="仿宋" w:hAnsi="仿宋" w:eastAsia="仿宋" w:cs="仿宋"/>
                <w:color w:val="auto"/>
                <w:szCs w:val="24"/>
              </w:rPr>
            </w:pPr>
            <w:r>
              <w:rPr>
                <w:rFonts w:hint="eastAsia" w:ascii="仿宋" w:hAnsi="仿宋" w:eastAsia="仿宋" w:cs="仿宋"/>
                <w:color w:val="auto"/>
                <w:szCs w:val="24"/>
              </w:rPr>
              <w:t>容器被双孔梁和直角支架卡在容器放置处，不会轻易移位；</w:t>
            </w:r>
          </w:p>
          <w:p>
            <w:pPr>
              <w:pStyle w:val="30"/>
              <w:numPr>
                <w:ilvl w:val="0"/>
                <w:numId w:val="24"/>
              </w:numPr>
              <w:spacing w:line="420" w:lineRule="exact"/>
              <w:rPr>
                <w:rFonts w:ascii="仿宋" w:hAnsi="仿宋" w:eastAsia="仿宋" w:cs="仿宋"/>
                <w:color w:val="auto"/>
                <w:szCs w:val="24"/>
              </w:rPr>
            </w:pPr>
            <w:r>
              <w:rPr>
                <w:rFonts w:hint="eastAsia" w:ascii="仿宋" w:hAnsi="仿宋" w:eastAsia="仿宋" w:cs="仿宋"/>
                <w:color w:val="auto"/>
                <w:szCs w:val="24"/>
              </w:rPr>
              <w:t>25个白色小球使用摆球架均匀放置在白色小球放置处内；</w:t>
            </w:r>
          </w:p>
          <w:p>
            <w:pPr>
              <w:pStyle w:val="30"/>
              <w:numPr>
                <w:ilvl w:val="0"/>
                <w:numId w:val="24"/>
              </w:numPr>
              <w:spacing w:line="420" w:lineRule="exact"/>
              <w:rPr>
                <w:rFonts w:ascii="仿宋" w:hAnsi="仿宋" w:eastAsia="仿宋" w:cs="仿宋"/>
                <w:color w:val="auto"/>
                <w:szCs w:val="24"/>
              </w:rPr>
            </w:pPr>
            <w:r>
              <w:rPr>
                <w:rFonts w:hint="eastAsia" w:ascii="仿宋" w:hAnsi="仿宋" w:eastAsia="仿宋" w:cs="仿宋"/>
                <w:color w:val="auto"/>
                <w:szCs w:val="24"/>
              </w:rPr>
              <w:t>装载区朝向容器方向的外边缘粘贴魔术贴作为边界；</w:t>
            </w:r>
          </w:p>
          <w:p>
            <w:pPr>
              <w:pStyle w:val="30"/>
              <w:numPr>
                <w:ilvl w:val="0"/>
                <w:numId w:val="24"/>
              </w:numPr>
              <w:spacing w:line="420" w:lineRule="exact"/>
              <w:rPr>
                <w:rFonts w:ascii="仿宋" w:hAnsi="仿宋" w:eastAsia="仿宋" w:cs="仿宋"/>
                <w:color w:val="auto"/>
                <w:szCs w:val="24"/>
              </w:rPr>
            </w:pPr>
            <w:r>
              <w:rPr>
                <w:rFonts w:hint="eastAsia" w:ascii="仿宋" w:hAnsi="仿宋" w:eastAsia="仿宋" w:cs="仿宋"/>
                <w:color w:val="auto"/>
                <w:szCs w:val="24"/>
              </w:rPr>
              <w:t>比赛开始后，摆放整齐的白球滚动或产生其他位移，不会恢复至初始状态；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任务目标</w:t>
            </w:r>
          </w:p>
        </w:tc>
        <w:tc>
          <w:tcPr>
            <w:tcW w:w="7097" w:type="dxa"/>
          </w:tcPr>
          <w:p>
            <w:pPr>
              <w:pStyle w:val="30"/>
              <w:numPr>
                <w:ilvl w:val="0"/>
                <w:numId w:val="25"/>
              </w:numPr>
              <w:spacing w:line="420" w:lineRule="exact"/>
              <w:rPr>
                <w:rFonts w:ascii="仿宋" w:hAnsi="仿宋" w:eastAsia="仿宋" w:cs="仿宋"/>
                <w:color w:val="auto"/>
                <w:szCs w:val="24"/>
              </w:rPr>
            </w:pPr>
            <w:r>
              <w:rPr>
                <w:rFonts w:hint="eastAsia" w:ascii="仿宋" w:hAnsi="仿宋" w:eastAsia="仿宋" w:cs="仿宋"/>
                <w:color w:val="auto"/>
                <w:szCs w:val="24"/>
              </w:rPr>
              <w:t>使所有小球进入容器内；</w:t>
            </w:r>
          </w:p>
          <w:p>
            <w:pPr>
              <w:pStyle w:val="30"/>
              <w:numPr>
                <w:ilvl w:val="0"/>
                <w:numId w:val="25"/>
              </w:numPr>
              <w:spacing w:line="420" w:lineRule="exact"/>
              <w:rPr>
                <w:rFonts w:ascii="仿宋" w:hAnsi="仿宋" w:eastAsia="仿宋" w:cs="仿宋"/>
                <w:color w:val="auto"/>
                <w:szCs w:val="24"/>
              </w:rPr>
            </w:pPr>
            <w:r>
              <w:rPr>
                <w:rFonts w:hint="eastAsia" w:ascii="仿宋" w:hAnsi="仿宋" w:eastAsia="仿宋" w:cs="仿宋"/>
                <w:color w:val="auto"/>
                <w:szCs w:val="24"/>
              </w:rPr>
              <w:t>使黄色大球进入容器上方；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任务得分</w:t>
            </w:r>
          </w:p>
        </w:tc>
        <w:tc>
          <w:tcPr>
            <w:tcW w:w="7097" w:type="dxa"/>
          </w:tcPr>
          <w:p>
            <w:pPr>
              <w:pStyle w:val="30"/>
              <w:numPr>
                <w:ilvl w:val="0"/>
                <w:numId w:val="26"/>
              </w:numPr>
              <w:tabs>
                <w:tab w:val="left" w:pos="870"/>
              </w:tabs>
              <w:spacing w:line="420" w:lineRule="exact"/>
              <w:rPr>
                <w:rFonts w:ascii="仿宋" w:hAnsi="仿宋" w:eastAsia="仿宋" w:cs="仿宋"/>
              </w:rPr>
            </w:pPr>
            <w:r>
              <w:rPr>
                <w:rFonts w:hint="eastAsia" w:ascii="仿宋" w:hAnsi="仿宋" w:eastAsia="仿宋" w:cs="仿宋"/>
              </w:rPr>
              <w:t>手动区域内共25个白色小球，每个10分，共250分；</w:t>
            </w:r>
          </w:p>
          <w:p>
            <w:pPr>
              <w:pStyle w:val="30"/>
              <w:numPr>
                <w:ilvl w:val="0"/>
                <w:numId w:val="26"/>
              </w:numPr>
              <w:tabs>
                <w:tab w:val="left" w:pos="870"/>
              </w:tabs>
              <w:spacing w:line="420" w:lineRule="exact"/>
              <w:rPr>
                <w:rFonts w:ascii="仿宋" w:hAnsi="仿宋" w:eastAsia="仿宋" w:cs="仿宋"/>
              </w:rPr>
            </w:pPr>
            <w:r>
              <w:rPr>
                <w:rFonts w:hint="eastAsia" w:ascii="仿宋" w:hAnsi="仿宋" w:eastAsia="仿宋" w:cs="仿宋"/>
              </w:rPr>
              <w:t>从自动区域内移动至手动区域的球：</w:t>
            </w:r>
          </w:p>
          <w:p>
            <w:pPr>
              <w:pStyle w:val="30"/>
              <w:numPr>
                <w:ilvl w:val="2"/>
                <w:numId w:val="27"/>
              </w:numPr>
              <w:tabs>
                <w:tab w:val="left" w:pos="870"/>
              </w:tabs>
              <w:spacing w:line="420" w:lineRule="exact"/>
              <w:rPr>
                <w:rFonts w:ascii="仿宋" w:hAnsi="仿宋" w:eastAsia="仿宋" w:cs="仿宋"/>
              </w:rPr>
            </w:pPr>
            <w:r>
              <w:rPr>
                <w:rFonts w:hint="eastAsia" w:ascii="仿宋" w:hAnsi="仿宋" w:eastAsia="仿宋" w:cs="仿宋"/>
              </w:rPr>
              <w:t>红色小球共4个，每个20分，共80分；</w:t>
            </w:r>
          </w:p>
          <w:p>
            <w:pPr>
              <w:pStyle w:val="30"/>
              <w:numPr>
                <w:ilvl w:val="2"/>
                <w:numId w:val="27"/>
              </w:numPr>
              <w:tabs>
                <w:tab w:val="left" w:pos="870"/>
              </w:tabs>
              <w:spacing w:line="420" w:lineRule="exact"/>
              <w:rPr>
                <w:rFonts w:ascii="仿宋" w:hAnsi="仿宋" w:eastAsia="仿宋" w:cs="仿宋"/>
              </w:rPr>
            </w:pPr>
            <w:r>
              <w:rPr>
                <w:rFonts w:hint="eastAsia" w:ascii="仿宋" w:hAnsi="仿宋" w:eastAsia="仿宋" w:cs="仿宋"/>
              </w:rPr>
              <w:t>蓝色小球共4个，每个20分，共80分；</w:t>
            </w:r>
          </w:p>
          <w:p>
            <w:pPr>
              <w:pStyle w:val="30"/>
              <w:numPr>
                <w:ilvl w:val="2"/>
                <w:numId w:val="27"/>
              </w:numPr>
              <w:tabs>
                <w:tab w:val="left" w:pos="870"/>
              </w:tabs>
              <w:spacing w:line="420" w:lineRule="exact"/>
              <w:rPr>
                <w:rFonts w:ascii="仿宋" w:hAnsi="仿宋" w:eastAsia="仿宋" w:cs="仿宋"/>
              </w:rPr>
            </w:pPr>
            <w:r>
              <w:rPr>
                <w:rFonts w:hint="eastAsia" w:ascii="仿宋" w:hAnsi="仿宋" w:eastAsia="仿宋" w:cs="仿宋"/>
              </w:rPr>
              <w:t>绿色小球共2个，每个20分，共40分；</w:t>
            </w:r>
          </w:p>
          <w:p>
            <w:pPr>
              <w:pStyle w:val="30"/>
              <w:numPr>
                <w:ilvl w:val="2"/>
                <w:numId w:val="27"/>
              </w:numPr>
              <w:tabs>
                <w:tab w:val="left" w:pos="870"/>
              </w:tabs>
              <w:spacing w:line="420" w:lineRule="exact"/>
              <w:rPr>
                <w:rFonts w:ascii="仿宋" w:hAnsi="仿宋" w:eastAsia="仿宋" w:cs="仿宋"/>
                <w:color w:val="auto"/>
                <w:szCs w:val="24"/>
              </w:rPr>
            </w:pPr>
            <w:r>
              <w:rPr>
                <w:rFonts w:hint="eastAsia" w:ascii="仿宋" w:hAnsi="仿宋" w:eastAsia="仿宋" w:cs="仿宋"/>
              </w:rPr>
              <w:t>黄色大球共1个，每个30分，共30分。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Pr>
          <w:p>
            <w:pPr>
              <w:pStyle w:val="30"/>
              <w:spacing w:line="420" w:lineRule="exact"/>
              <w:ind w:firstLine="0"/>
              <w:jc w:val="center"/>
              <w:rPr>
                <w:rFonts w:ascii="仿宋" w:hAnsi="仿宋" w:eastAsia="仿宋" w:cs="仿宋"/>
                <w:color w:val="auto"/>
                <w:szCs w:val="24"/>
              </w:rPr>
            </w:pPr>
            <w:r>
              <w:rPr>
                <w:rFonts w:hint="eastAsia" w:ascii="仿宋" w:hAnsi="仿宋" w:eastAsia="仿宋" w:cs="仿宋"/>
                <w:color w:val="auto"/>
                <w:szCs w:val="24"/>
              </w:rPr>
              <w:t>得分判定</w:t>
            </w:r>
          </w:p>
        </w:tc>
        <w:tc>
          <w:tcPr>
            <w:tcW w:w="7097" w:type="dxa"/>
          </w:tcPr>
          <w:p>
            <w:pPr>
              <w:pStyle w:val="30"/>
              <w:tabs>
                <w:tab w:val="left" w:pos="960"/>
              </w:tabs>
              <w:spacing w:line="420" w:lineRule="exact"/>
              <w:ind w:firstLine="0"/>
              <w:rPr>
                <w:rFonts w:ascii="仿宋" w:hAnsi="仿宋" w:eastAsia="仿宋" w:cs="仿宋"/>
                <w:color w:val="auto"/>
                <w:szCs w:val="24"/>
              </w:rPr>
            </w:pPr>
            <w:r>
              <w:rPr>
                <w:rFonts w:hint="eastAsia" w:ascii="仿宋" w:hAnsi="仿宋" w:eastAsia="仿宋" w:cs="仿宋"/>
                <w:color w:val="auto"/>
                <w:szCs w:val="24"/>
              </w:rPr>
              <w:t>比赛结束后：</w:t>
            </w:r>
          </w:p>
          <w:p>
            <w:pPr>
              <w:pStyle w:val="30"/>
              <w:numPr>
                <w:ilvl w:val="0"/>
                <w:numId w:val="28"/>
              </w:numPr>
              <w:tabs>
                <w:tab w:val="left" w:pos="960"/>
              </w:tabs>
              <w:spacing w:line="420" w:lineRule="exact"/>
              <w:rPr>
                <w:rFonts w:ascii="仿宋" w:hAnsi="仿宋" w:eastAsia="仿宋" w:cs="仿宋"/>
                <w:color w:val="auto"/>
                <w:szCs w:val="24"/>
              </w:rPr>
            </w:pPr>
            <w:r>
              <w:rPr>
                <w:rFonts w:hint="eastAsia" w:ascii="仿宋" w:hAnsi="仿宋" w:eastAsia="仿宋" w:cs="仿宋"/>
                <w:color w:val="auto"/>
                <w:szCs w:val="24"/>
              </w:rPr>
              <w:t>小球完全进入容器内部即可得分，部分进入（如位于容器上方）不得分；</w:t>
            </w:r>
          </w:p>
          <w:p>
            <w:pPr>
              <w:pStyle w:val="30"/>
              <w:numPr>
                <w:ilvl w:val="0"/>
                <w:numId w:val="28"/>
              </w:numPr>
              <w:tabs>
                <w:tab w:val="left" w:pos="960"/>
              </w:tabs>
              <w:spacing w:line="420" w:lineRule="exact"/>
              <w:rPr>
                <w:rFonts w:ascii="仿宋" w:hAnsi="仿宋" w:eastAsia="仿宋" w:cs="仿宋"/>
                <w:color w:val="auto"/>
                <w:szCs w:val="24"/>
              </w:rPr>
            </w:pPr>
            <w:r>
              <w:rPr>
                <w:rFonts w:hint="eastAsia" w:ascii="仿宋" w:hAnsi="仿宋" w:eastAsia="仿宋" w:cs="仿宋"/>
                <w:color w:val="auto"/>
                <w:szCs w:val="24"/>
              </w:rPr>
              <w:t>黄色大球进入容器上方即可得分。</w:t>
            </w:r>
          </w:p>
          <w:p>
            <w:pPr>
              <w:pStyle w:val="30"/>
              <w:numPr>
                <w:ilvl w:val="0"/>
                <w:numId w:val="28"/>
              </w:numPr>
              <w:tabs>
                <w:tab w:val="left" w:pos="960"/>
              </w:tabs>
              <w:spacing w:line="420" w:lineRule="exact"/>
              <w:rPr>
                <w:rFonts w:ascii="仿宋" w:hAnsi="仿宋" w:eastAsia="仿宋" w:cs="仿宋"/>
                <w:color w:val="auto"/>
                <w:szCs w:val="24"/>
              </w:rPr>
            </w:pPr>
            <w:r>
              <w:rPr>
                <w:rFonts w:hint="eastAsia" w:ascii="仿宋" w:hAnsi="仿宋" w:eastAsia="仿宋" w:cs="仿宋"/>
                <w:color w:val="auto"/>
                <w:szCs w:val="24"/>
              </w:rPr>
              <w:t>位于装载区内的球类道具不得分。</w:t>
            </w:r>
          </w:p>
        </w:tc>
      </w:tr>
    </w:tbl>
    <w:p>
      <w:pPr>
        <w:pStyle w:val="64"/>
        <w:spacing w:line="420" w:lineRule="exact"/>
        <w:rPr>
          <w:rStyle w:val="61"/>
          <w:rFonts w:ascii="仿宋" w:hAnsi="仿宋" w:eastAsia="仿宋" w:cs="仿宋"/>
        </w:rPr>
      </w:pPr>
      <w:r>
        <w:rPr>
          <w:rStyle w:val="61"/>
          <w:rFonts w:hint="eastAsia" w:ascii="仿宋" w:hAnsi="仿宋" w:eastAsia="仿宋" w:cs="仿宋"/>
        </w:rPr>
        <w:t>球进入容器判定：</w:t>
      </w:r>
    </w:p>
    <w:p>
      <w:pPr>
        <w:pStyle w:val="30"/>
        <w:spacing w:line="420" w:lineRule="exact"/>
        <w:jc w:val="left"/>
        <w:rPr>
          <w:rStyle w:val="61"/>
          <w:rFonts w:ascii="仿宋" w:hAnsi="仿宋" w:eastAsia="仿宋" w:cs="仿宋"/>
        </w:rPr>
      </w:pPr>
      <w:r>
        <w:rPr>
          <w:rStyle w:val="61"/>
          <w:rFonts w:hint="eastAsia" w:ascii="仿宋" w:hAnsi="仿宋" w:eastAsia="仿宋" w:cs="仿宋"/>
        </w:rPr>
        <w:t>小球必须完全被容器容纳方可视为完全进入容器内部。</w:t>
      </w:r>
    </w:p>
    <w:p>
      <w:pPr>
        <w:pStyle w:val="30"/>
        <w:spacing w:line="420" w:lineRule="exact"/>
        <w:jc w:val="left"/>
        <w:rPr>
          <w:rStyle w:val="61"/>
          <w:rFonts w:ascii="仿宋" w:hAnsi="仿宋" w:eastAsia="仿宋" w:cs="仿宋"/>
        </w:rPr>
      </w:pPr>
      <w:r>
        <w:rPr>
          <w:rStyle w:val="61"/>
          <w:rFonts w:hint="eastAsia" w:ascii="仿宋" w:hAnsi="仿宋" w:eastAsia="仿宋" w:cs="仿宋"/>
        </w:rPr>
        <w:t>若小球掉落在容器顶部并未进入容器内部则不属于完全进入状态。</w:t>
      </w:r>
    </w:p>
    <w:p>
      <w:pPr>
        <w:pStyle w:val="30"/>
        <w:spacing w:line="420" w:lineRule="exact"/>
        <w:ind w:firstLine="0"/>
        <w:jc w:val="left"/>
        <w:rPr>
          <w:rStyle w:val="61"/>
          <w:rFonts w:ascii="仿宋" w:hAnsi="仿宋" w:eastAsia="仿宋" w:cs="仿宋"/>
        </w:rPr>
      </w:pPr>
      <w:r>
        <w:rPr>
          <w:rStyle w:val="61"/>
          <w:rFonts w:hint="eastAsia" w:ascii="仿宋" w:hAnsi="仿宋" w:eastAsia="仿宋" w:cs="仿宋"/>
        </w:rPr>
        <w:tab/>
      </w:r>
      <w:r>
        <w:rPr>
          <w:rStyle w:val="61"/>
          <w:rFonts w:hint="eastAsia" w:ascii="仿宋" w:hAnsi="仿宋" w:eastAsia="仿宋" w:cs="仿宋"/>
        </w:rPr>
        <w:t>手动区域内所有小球的进入容器判定均按此说明执行，以下为图示：</w:t>
      </w:r>
    </w:p>
    <w:tbl>
      <w:tblPr>
        <w:tblStyle w:val="17"/>
        <w:tblW w:w="5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2198"/>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状态</w:t>
            </w:r>
          </w:p>
        </w:tc>
        <w:tc>
          <w:tcPr>
            <w:tcW w:w="2198"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完全进入</w:t>
            </w:r>
          </w:p>
        </w:tc>
        <w:tc>
          <w:tcPr>
            <w:tcW w:w="2136"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部分进入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89" w:type="dxa"/>
            <w:shd w:val="clear" w:color="auto" w:fill="BDD6EE" w:themeFill="accent1" w:themeFillTint="66"/>
            <w:vAlign w:val="center"/>
          </w:tcPr>
          <w:p>
            <w:pPr>
              <w:pStyle w:val="30"/>
              <w:spacing w:line="420" w:lineRule="exact"/>
              <w:ind w:firstLine="0"/>
              <w:jc w:val="center"/>
              <w:rPr>
                <w:rFonts w:ascii="仿宋" w:hAnsi="仿宋" w:eastAsia="仿宋" w:cs="仿宋"/>
              </w:rPr>
            </w:pPr>
            <w:r>
              <w:rPr>
                <w:rFonts w:hint="eastAsia" w:ascii="仿宋" w:hAnsi="仿宋" w:eastAsia="仿宋" w:cs="仿宋"/>
              </w:rPr>
              <w:t>图例</w:t>
            </w:r>
          </w:p>
        </w:tc>
        <w:tc>
          <w:tcPr>
            <w:tcW w:w="2198" w:type="dxa"/>
            <w:shd w:val="clear" w:color="auto" w:fill="BDD6EE" w:themeFill="accent1" w:themeFillTint="66"/>
            <w:vAlign w:val="bottom"/>
          </w:tcPr>
          <w:p>
            <w:pPr>
              <w:jc w:val="center"/>
              <w:rPr>
                <w:rFonts w:ascii="仿宋" w:hAnsi="仿宋" w:eastAsia="仿宋" w:cs="仿宋"/>
                <w:sz w:val="18"/>
                <w:szCs w:val="18"/>
              </w:rPr>
            </w:pPr>
            <w:r>
              <w:rPr>
                <w:rFonts w:hint="eastAsia" w:ascii="仿宋" w:hAnsi="仿宋" w:eastAsia="仿宋" w:cs="仿宋"/>
                <w:sz w:val="18"/>
                <w:szCs w:val="18"/>
              </w:rPr>
              <w:drawing>
                <wp:inline distT="0" distB="0" distL="0" distR="0">
                  <wp:extent cx="760730" cy="586105"/>
                  <wp:effectExtent l="0" t="0" r="127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97492" cy="614433"/>
                          </a:xfrm>
                          <a:prstGeom prst="rect">
                            <a:avLst/>
                          </a:prstGeom>
                          <a:noFill/>
                          <a:ln>
                            <a:noFill/>
                          </a:ln>
                        </pic:spPr>
                      </pic:pic>
                    </a:graphicData>
                  </a:graphic>
                </wp:inline>
              </w:drawing>
            </w:r>
          </w:p>
        </w:tc>
        <w:tc>
          <w:tcPr>
            <w:tcW w:w="2136" w:type="dxa"/>
            <w:shd w:val="clear" w:color="auto" w:fill="BDD6EE" w:themeFill="accent1" w:themeFillTint="66"/>
            <w:vAlign w:val="bottom"/>
          </w:tcPr>
          <w:p>
            <w:pPr>
              <w:spacing w:line="240" w:lineRule="auto"/>
              <w:jc w:val="center"/>
              <w:rPr>
                <w:rFonts w:ascii="仿宋" w:hAnsi="仿宋" w:eastAsia="仿宋" w:cs="仿宋"/>
                <w:sz w:val="18"/>
                <w:szCs w:val="18"/>
              </w:rPr>
            </w:pPr>
            <w:r>
              <w:rPr>
                <w:rFonts w:hint="eastAsia" w:ascii="仿宋" w:hAnsi="仿宋" w:eastAsia="仿宋" w:cs="仿宋"/>
                <w:sz w:val="18"/>
                <w:szCs w:val="18"/>
              </w:rPr>
              <w:drawing>
                <wp:inline distT="0" distB="0" distL="0" distR="0">
                  <wp:extent cx="649605" cy="56007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50136" cy="560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289" w:type="dxa"/>
            <w:vAlign w:val="center"/>
          </w:tcPr>
          <w:p>
            <w:pPr>
              <w:pStyle w:val="30"/>
              <w:spacing w:line="420" w:lineRule="exact"/>
              <w:ind w:firstLine="0"/>
              <w:jc w:val="center"/>
              <w:rPr>
                <w:rFonts w:ascii="仿宋" w:hAnsi="仿宋" w:eastAsia="仿宋" w:cs="仿宋"/>
              </w:rPr>
            </w:pPr>
            <w:r>
              <w:rPr>
                <w:rFonts w:hint="eastAsia" w:ascii="仿宋" w:hAnsi="仿宋" w:eastAsia="仿宋" w:cs="仿宋"/>
              </w:rPr>
              <w:t>是否得分</w:t>
            </w:r>
          </w:p>
        </w:tc>
        <w:tc>
          <w:tcPr>
            <w:tcW w:w="2198"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276225" cy="276225"/>
                  <wp:effectExtent l="0" t="0" r="9525" b="9525"/>
                  <wp:docPr id="210"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77535" cy="277535"/>
                          </a:xfrm>
                          <a:prstGeom prst="rect">
                            <a:avLst/>
                          </a:prstGeom>
                        </pic:spPr>
                      </pic:pic>
                    </a:graphicData>
                  </a:graphic>
                </wp:inline>
              </w:drawing>
            </w:r>
          </w:p>
        </w:tc>
        <w:tc>
          <w:tcPr>
            <w:tcW w:w="2136"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342900" cy="342900"/>
                  <wp:effectExtent l="0" t="0" r="0" b="0"/>
                  <wp:docPr id="181" name="Graphic 2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phic 23" descr="Close"/>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4043" cy="344043"/>
                          </a:xfrm>
                          <a:prstGeom prst="rect">
                            <a:avLst/>
                          </a:prstGeom>
                        </pic:spPr>
                      </pic:pic>
                    </a:graphicData>
                  </a:graphic>
                </wp:inline>
              </w:drawing>
            </w:r>
          </w:p>
        </w:tc>
      </w:tr>
    </w:tbl>
    <w:p>
      <w:pPr>
        <w:pStyle w:val="30"/>
        <w:spacing w:line="420" w:lineRule="exact"/>
        <w:ind w:firstLine="0"/>
        <w:jc w:val="center"/>
        <w:rPr>
          <w:rStyle w:val="61"/>
          <w:rFonts w:ascii="仿宋" w:hAnsi="仿宋" w:eastAsia="仿宋" w:cs="仿宋"/>
          <w:b/>
        </w:rPr>
      </w:pPr>
      <w:r>
        <w:rPr>
          <w:rStyle w:val="61"/>
          <w:rFonts w:hint="eastAsia" w:ascii="仿宋" w:hAnsi="仿宋" w:eastAsia="仿宋" w:cs="仿宋"/>
          <w:b/>
        </w:rPr>
        <w:t>表2.11小球进入容器判定</w:t>
      </w:r>
    </w:p>
    <w:p>
      <w:pPr>
        <w:pStyle w:val="30"/>
        <w:spacing w:line="420" w:lineRule="exact"/>
        <w:ind w:firstLine="0"/>
        <w:jc w:val="left"/>
        <w:rPr>
          <w:rStyle w:val="61"/>
          <w:rFonts w:ascii="仿宋" w:hAnsi="仿宋" w:eastAsia="仿宋" w:cs="仿宋"/>
        </w:rPr>
      </w:pPr>
      <w:r>
        <w:rPr>
          <w:rStyle w:val="61"/>
          <w:rFonts w:hint="eastAsia" w:ascii="仿宋" w:hAnsi="仿宋" w:eastAsia="仿宋" w:cs="仿宋"/>
        </w:rPr>
        <w:tab/>
      </w:r>
      <w:r>
        <w:rPr>
          <w:rStyle w:val="61"/>
          <w:rFonts w:hint="eastAsia" w:ascii="仿宋" w:hAnsi="仿宋" w:eastAsia="仿宋" w:cs="仿宋"/>
        </w:rPr>
        <w:t>黄色大球嵌在容器的凹槽处即为进入容器上方。</w:t>
      </w:r>
    </w:p>
    <w:p>
      <w:pPr>
        <w:pStyle w:val="30"/>
        <w:spacing w:line="420" w:lineRule="exact"/>
        <w:ind w:firstLine="0"/>
        <w:jc w:val="left"/>
        <w:rPr>
          <w:rStyle w:val="61"/>
          <w:rFonts w:ascii="仿宋" w:hAnsi="仿宋" w:eastAsia="仿宋" w:cs="仿宋"/>
        </w:rPr>
      </w:pPr>
      <w:r>
        <w:rPr>
          <w:rStyle w:val="61"/>
          <w:rFonts w:hint="eastAsia" w:ascii="仿宋" w:hAnsi="仿宋" w:eastAsia="仿宋" w:cs="仿宋"/>
        </w:rPr>
        <w:tab/>
      </w:r>
      <w:r>
        <w:rPr>
          <w:rStyle w:val="61"/>
          <w:rFonts w:hint="eastAsia" w:ascii="仿宋" w:hAnsi="仿宋" w:eastAsia="仿宋" w:cs="仿宋"/>
        </w:rPr>
        <w:t>黄色大球在容器上方呈静止状态且不与机器人接触，视为位于容器上方。</w:t>
      </w:r>
    </w:p>
    <w:tbl>
      <w:tblPr>
        <w:tblStyle w:val="17"/>
        <w:tblW w:w="5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9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状态</w:t>
            </w:r>
          </w:p>
        </w:tc>
        <w:tc>
          <w:tcPr>
            <w:tcW w:w="1994"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位于容器上方</w:t>
            </w:r>
          </w:p>
        </w:tc>
        <w:tc>
          <w:tcPr>
            <w:tcW w:w="1843" w:type="dxa"/>
            <w:shd w:val="clear" w:color="auto" w:fill="FFD1D1"/>
          </w:tcPr>
          <w:p>
            <w:pPr>
              <w:pStyle w:val="30"/>
              <w:spacing w:line="420" w:lineRule="exact"/>
              <w:ind w:firstLine="0"/>
              <w:jc w:val="center"/>
              <w:rPr>
                <w:rFonts w:ascii="仿宋" w:hAnsi="仿宋" w:eastAsia="仿宋" w:cs="仿宋"/>
              </w:rPr>
            </w:pPr>
            <w:r>
              <w:rPr>
                <w:rFonts w:hint="eastAsia" w:ascii="仿宋" w:hAnsi="仿宋" w:eastAsia="仿宋" w:cs="仿宋"/>
              </w:rPr>
              <w:t>位于容器上方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272" w:type="dxa"/>
            <w:shd w:val="clear" w:color="auto" w:fill="BDD6EE" w:themeFill="accent1" w:themeFillTint="66"/>
            <w:vAlign w:val="center"/>
          </w:tcPr>
          <w:p>
            <w:pPr>
              <w:jc w:val="center"/>
              <w:rPr>
                <w:rFonts w:ascii="仿宋" w:hAnsi="仿宋" w:eastAsia="仿宋" w:cs="仿宋"/>
                <w:b/>
                <w:szCs w:val="18"/>
              </w:rPr>
            </w:pPr>
            <w:r>
              <w:rPr>
                <w:rFonts w:hint="eastAsia" w:ascii="仿宋" w:hAnsi="仿宋" w:eastAsia="仿宋" w:cs="仿宋"/>
                <w:sz w:val="22"/>
              </w:rPr>
              <w:t>图例</w:t>
            </w:r>
          </w:p>
        </w:tc>
        <w:tc>
          <w:tcPr>
            <w:tcW w:w="1994" w:type="dxa"/>
            <w:shd w:val="clear" w:color="auto" w:fill="BDD6EE" w:themeFill="accent1" w:themeFillTint="66"/>
            <w:vAlign w:val="bottom"/>
          </w:tcPr>
          <w:p>
            <w:pPr>
              <w:jc w:val="center"/>
              <w:rPr>
                <w:rFonts w:ascii="仿宋" w:hAnsi="仿宋" w:eastAsia="仿宋" w:cs="仿宋"/>
                <w:b/>
                <w:szCs w:val="18"/>
              </w:rPr>
            </w:pPr>
            <w:r>
              <w:rPr>
                <w:rFonts w:hint="eastAsia" w:ascii="仿宋" w:hAnsi="仿宋" w:eastAsia="仿宋" w:cs="仿宋"/>
                <w:b/>
                <w:szCs w:val="18"/>
              </w:rPr>
              <w:drawing>
                <wp:inline distT="0" distB="0" distL="0" distR="0">
                  <wp:extent cx="650240" cy="63817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62"/>
                          <a:stretch>
                            <a:fillRect/>
                          </a:stretch>
                        </pic:blipFill>
                        <pic:spPr>
                          <a:xfrm>
                            <a:off x="0" y="0"/>
                            <a:ext cx="656791" cy="644399"/>
                          </a:xfrm>
                          <a:prstGeom prst="rect">
                            <a:avLst/>
                          </a:prstGeom>
                        </pic:spPr>
                      </pic:pic>
                    </a:graphicData>
                  </a:graphic>
                </wp:inline>
              </w:drawing>
            </w:r>
          </w:p>
        </w:tc>
        <w:tc>
          <w:tcPr>
            <w:tcW w:w="1843" w:type="dxa"/>
            <w:shd w:val="clear" w:color="auto" w:fill="BDD6EE" w:themeFill="accent1" w:themeFillTint="66"/>
            <w:vAlign w:val="bottom"/>
          </w:tcPr>
          <w:p>
            <w:pPr>
              <w:spacing w:line="240" w:lineRule="auto"/>
              <w:jc w:val="center"/>
              <w:rPr>
                <w:rFonts w:ascii="仿宋" w:hAnsi="仿宋" w:eastAsia="仿宋" w:cs="仿宋"/>
              </w:rPr>
            </w:pPr>
            <w:r>
              <w:rPr>
                <w:rFonts w:hint="eastAsia" w:ascii="仿宋" w:hAnsi="仿宋" w:eastAsia="仿宋" w:cs="仿宋"/>
                <w:b/>
                <w:szCs w:val="18"/>
              </w:rPr>
              <w:drawing>
                <wp:inline distT="0" distB="0" distL="0" distR="0">
                  <wp:extent cx="667385" cy="71437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63"/>
                          <a:stretch>
                            <a:fillRect/>
                          </a:stretch>
                        </pic:blipFill>
                        <pic:spPr>
                          <a:xfrm>
                            <a:off x="0" y="0"/>
                            <a:ext cx="673416" cy="72067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2" w:type="dxa"/>
            <w:shd w:val="clear" w:color="auto" w:fill="CCE8CF" w:themeFill="background1"/>
            <w:vAlign w:val="center"/>
          </w:tcPr>
          <w:p>
            <w:pPr>
              <w:pStyle w:val="30"/>
              <w:ind w:firstLine="0"/>
              <w:jc w:val="center"/>
              <w:rPr>
                <w:rFonts w:ascii="仿宋" w:hAnsi="仿宋" w:eastAsia="仿宋" w:cs="仿宋"/>
              </w:rPr>
            </w:pPr>
            <w:r>
              <w:rPr>
                <w:rFonts w:hint="eastAsia" w:ascii="仿宋" w:hAnsi="仿宋" w:eastAsia="仿宋" w:cs="仿宋"/>
              </w:rPr>
              <w:t>是否得分</w:t>
            </w:r>
          </w:p>
        </w:tc>
        <w:tc>
          <w:tcPr>
            <w:tcW w:w="1994"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271145" cy="271145"/>
                  <wp:effectExtent l="0" t="0" r="0" b="0"/>
                  <wp:docPr id="229"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1"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72507" cy="272507"/>
                          </a:xfrm>
                          <a:prstGeom prst="rect">
                            <a:avLst/>
                          </a:prstGeom>
                        </pic:spPr>
                      </pic:pic>
                    </a:graphicData>
                  </a:graphic>
                </wp:inline>
              </w:drawing>
            </w:r>
          </w:p>
        </w:tc>
        <w:tc>
          <w:tcPr>
            <w:tcW w:w="1843" w:type="dxa"/>
            <w:shd w:val="clear" w:color="auto" w:fill="CCE8CF" w:themeFill="background1"/>
          </w:tcPr>
          <w:p>
            <w:pPr>
              <w:pStyle w:val="30"/>
              <w:ind w:firstLine="0"/>
              <w:jc w:val="center"/>
              <w:rPr>
                <w:rFonts w:ascii="仿宋" w:hAnsi="仿宋" w:eastAsia="仿宋" w:cs="仿宋"/>
              </w:rPr>
            </w:pPr>
            <w:r>
              <w:rPr>
                <w:rFonts w:hint="eastAsia" w:ascii="仿宋" w:hAnsi="仿宋" w:eastAsia="仿宋" w:cs="仿宋"/>
              </w:rPr>
              <w:drawing>
                <wp:inline distT="0" distB="0" distL="0" distR="0">
                  <wp:extent cx="266700" cy="266700"/>
                  <wp:effectExtent l="0" t="0" r="0" b="0"/>
                  <wp:docPr id="230"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1" descr="Checkmark"/>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68025" cy="268025"/>
                          </a:xfrm>
                          <a:prstGeom prst="rect">
                            <a:avLst/>
                          </a:prstGeom>
                        </pic:spPr>
                      </pic:pic>
                    </a:graphicData>
                  </a:graphic>
                </wp:inline>
              </w:drawing>
            </w:r>
          </w:p>
        </w:tc>
      </w:tr>
    </w:tbl>
    <w:p>
      <w:pPr>
        <w:pStyle w:val="30"/>
        <w:spacing w:line="420" w:lineRule="exact"/>
        <w:ind w:firstLine="0"/>
        <w:jc w:val="center"/>
        <w:rPr>
          <w:rStyle w:val="61"/>
          <w:rFonts w:ascii="仿宋" w:hAnsi="仿宋" w:eastAsia="仿宋" w:cs="仿宋"/>
          <w:b/>
        </w:rPr>
      </w:pPr>
      <w:r>
        <w:rPr>
          <w:rStyle w:val="61"/>
          <w:rFonts w:hint="eastAsia" w:ascii="仿宋" w:hAnsi="仿宋" w:eastAsia="仿宋" w:cs="仿宋"/>
          <w:b/>
        </w:rPr>
        <w:t>表2.12黄色大球进入容器判定</w:t>
      </w:r>
    </w:p>
    <w:p>
      <w:pPr>
        <w:pStyle w:val="64"/>
        <w:spacing w:line="420" w:lineRule="exact"/>
        <w:rPr>
          <w:rStyle w:val="61"/>
          <w:rFonts w:ascii="仿宋" w:hAnsi="仿宋" w:eastAsia="仿宋" w:cs="仿宋"/>
          <w:b w:val="0"/>
        </w:rPr>
      </w:pPr>
      <w:r>
        <w:rPr>
          <w:rStyle w:val="61"/>
          <w:rFonts w:hint="eastAsia" w:ascii="仿宋" w:hAnsi="仿宋" w:eastAsia="仿宋" w:cs="仿宋"/>
          <w:b w:val="0"/>
        </w:rPr>
        <w:t>手动装载许可判定：</w:t>
      </w:r>
    </w:p>
    <w:p>
      <w:pPr>
        <w:pStyle w:val="30"/>
        <w:spacing w:line="420" w:lineRule="exact"/>
        <w:rPr>
          <w:rStyle w:val="61"/>
          <w:rFonts w:ascii="仿宋" w:hAnsi="仿宋" w:eastAsia="仿宋" w:cs="仿宋"/>
          <w:color w:val="auto"/>
          <w:szCs w:val="24"/>
        </w:rPr>
      </w:pPr>
      <w:r>
        <w:rPr>
          <w:rFonts w:hint="eastAsia" w:ascii="仿宋" w:hAnsi="仿宋" w:eastAsia="仿宋" w:cs="仿宋"/>
        </w:rPr>
        <w:t>小球完全进入装载区后，观察手方可用手将小球装载到已经完全进入装载区的机器人上。</w:t>
      </w:r>
    </w:p>
    <w:p>
      <w:pPr>
        <w:pStyle w:val="30"/>
        <w:spacing w:line="420" w:lineRule="exact"/>
        <w:jc w:val="left"/>
        <w:rPr>
          <w:rStyle w:val="61"/>
          <w:rFonts w:ascii="仿宋" w:hAnsi="仿宋" w:eastAsia="仿宋" w:cs="仿宋"/>
          <w:color w:val="auto"/>
        </w:rPr>
      </w:pPr>
      <w:r>
        <w:rPr>
          <w:rStyle w:val="61"/>
          <w:rFonts w:hint="eastAsia" w:ascii="仿宋" w:hAnsi="仿宋" w:eastAsia="仿宋" w:cs="仿宋"/>
          <w:color w:val="auto"/>
        </w:rPr>
        <w:t>任何时候黄色大球都不允许被参赛队员直接或间接接触。</w:t>
      </w:r>
    </w:p>
    <w:p>
      <w:pPr>
        <w:pStyle w:val="30"/>
        <w:spacing w:line="420" w:lineRule="exact"/>
        <w:jc w:val="left"/>
        <w:rPr>
          <w:rStyle w:val="61"/>
          <w:rFonts w:ascii="仿宋" w:hAnsi="仿宋" w:eastAsia="仿宋" w:cs="仿宋"/>
        </w:rPr>
      </w:pPr>
      <w:r>
        <w:rPr>
          <w:rStyle w:val="61"/>
          <w:rFonts w:hint="eastAsia" w:ascii="仿宋" w:hAnsi="仿宋" w:eastAsia="仿宋" w:cs="仿宋"/>
        </w:rPr>
        <w:drawing>
          <wp:anchor distT="0" distB="0" distL="114300" distR="114300" simplePos="0" relativeHeight="251783168" behindDoc="0" locked="0" layoutInCell="1" allowOverlap="1">
            <wp:simplePos x="0" y="0"/>
            <wp:positionH relativeFrom="column">
              <wp:posOffset>1967230</wp:posOffset>
            </wp:positionH>
            <wp:positionV relativeFrom="paragraph">
              <wp:posOffset>737870</wp:posOffset>
            </wp:positionV>
            <wp:extent cx="1636395" cy="1666875"/>
            <wp:effectExtent l="0" t="0" r="9525" b="9525"/>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636395" cy="1666875"/>
                    </a:xfrm>
                    <a:prstGeom prst="rect">
                      <a:avLst/>
                    </a:prstGeom>
                    <a:noFill/>
                    <a:ln>
                      <a:noFill/>
                    </a:ln>
                  </pic:spPr>
                </pic:pic>
              </a:graphicData>
            </a:graphic>
          </wp:anchor>
        </w:drawing>
      </w:r>
      <w:r>
        <w:rPr>
          <w:rStyle w:val="61"/>
          <w:rFonts w:hint="eastAsia" w:ascii="仿宋" w:hAnsi="仿宋" w:eastAsia="仿宋" w:cs="仿宋"/>
        </w:rPr>
        <w:t>完全进入：指小球或机器人竖直投影面完全进入阴影部分标识的装载区（即魔术贴内边缘以内的部分）。</w:t>
      </w:r>
    </w:p>
    <w:p>
      <w:pPr>
        <w:pStyle w:val="30"/>
        <w:spacing w:line="420" w:lineRule="exact"/>
        <w:ind w:firstLine="0"/>
        <w:jc w:val="center"/>
        <w:rPr>
          <w:rStyle w:val="61"/>
          <w:rFonts w:ascii="仿宋" w:hAnsi="仿宋" w:eastAsia="仿宋" w:cs="仿宋"/>
          <w:b/>
        </w:rPr>
      </w:pPr>
      <w:r>
        <w:rPr>
          <w:rStyle w:val="61"/>
          <w:rFonts w:hint="eastAsia" w:ascii="仿宋" w:hAnsi="仿宋" w:eastAsia="仿宋" w:cs="仿宋"/>
          <w:b/>
        </w:rPr>
        <w:t>图2.13小球进入装载区的判定示意图</w:t>
      </w:r>
    </w:p>
    <w:p>
      <w:pPr>
        <w:pStyle w:val="64"/>
        <w:rPr>
          <w:rStyle w:val="61"/>
          <w:rFonts w:ascii="仿宋" w:hAnsi="仿宋" w:eastAsia="仿宋" w:cs="仿宋"/>
        </w:rPr>
      </w:pPr>
      <w:r>
        <w:rPr>
          <w:rStyle w:val="61"/>
          <w:rFonts w:hint="eastAsia" w:ascii="仿宋" w:hAnsi="仿宋" w:eastAsia="仿宋" w:cs="仿宋"/>
        </w:rPr>
        <w:t>容器</w:t>
      </w:r>
    </w:p>
    <w:p>
      <w:pPr>
        <w:pStyle w:val="30"/>
        <w:spacing w:line="420" w:lineRule="exact"/>
        <w:rPr>
          <w:rStyle w:val="61"/>
          <w:rFonts w:ascii="仿宋" w:hAnsi="仿宋" w:eastAsia="仿宋" w:cs="仿宋"/>
        </w:rPr>
      </w:pPr>
      <w:r>
        <w:rPr>
          <w:rStyle w:val="61"/>
          <w:rFonts w:hint="eastAsia" w:ascii="仿宋" w:hAnsi="仿宋" w:eastAsia="仿宋" w:cs="仿宋"/>
        </w:rPr>
        <w:t>容器的主要材料为3mm厚的亚克力，其高度为150mm±1mm，对边宽度为172mm±3mm，对角宽度为197mm±3mm，最上层亚克力板中间的圆直径为130mm±1mm，第二层亚克力板中间的圆直径为80mm±1mm。</w:t>
      </w:r>
    </w:p>
    <w:p>
      <w:pPr>
        <w:pStyle w:val="30"/>
        <w:spacing w:line="420" w:lineRule="exact"/>
        <w:ind w:firstLine="0"/>
        <w:jc w:val="center"/>
        <w:rPr>
          <w:rStyle w:val="61"/>
          <w:rFonts w:ascii="仿宋" w:hAnsi="仿宋" w:eastAsia="仿宋" w:cs="仿宋"/>
          <w:color w:val="FF0000"/>
        </w:rPr>
      </w:pPr>
      <w:r>
        <w:rPr>
          <w:rStyle w:val="61"/>
          <w:rFonts w:hint="eastAsia" w:ascii="仿宋" w:hAnsi="仿宋" w:eastAsia="仿宋" w:cs="仿宋"/>
          <w:b/>
          <w:color w:val="auto"/>
        </w:rPr>
        <w:t>图2.14容器示意图</w:t>
      </w:r>
    </w:p>
    <w:p>
      <w:pPr>
        <w:pStyle w:val="34"/>
        <w:numPr>
          <w:ilvl w:val="1"/>
          <w:numId w:val="0"/>
        </w:numPr>
        <w:spacing w:line="420" w:lineRule="exact"/>
        <w:rPr>
          <w:rFonts w:ascii="仿宋" w:hAnsi="仿宋" w:eastAsia="仿宋" w:cs="仿宋"/>
          <w:color w:val="000000" w:themeColor="text1"/>
          <w:sz w:val="22"/>
          <w:szCs w:val="22"/>
        </w:rPr>
      </w:pPr>
      <w:bookmarkStart w:id="12" w:name="_Toc62046387"/>
      <w:bookmarkStart w:id="13" w:name="_Toc11930"/>
      <w:bookmarkStart w:id="14" w:name="_Toc24861"/>
      <w:bookmarkStart w:id="15" w:name="_Toc34640257"/>
      <w:r>
        <w:rPr>
          <w:rStyle w:val="61"/>
          <w:rFonts w:hint="eastAsia" w:ascii="仿宋" w:hAnsi="仿宋" w:eastAsia="仿宋" w:cs="仿宋"/>
          <w:color w:val="FF0000"/>
        </w:rPr>
        <w:drawing>
          <wp:anchor distT="0" distB="0" distL="114300" distR="114300" simplePos="0" relativeHeight="251694080" behindDoc="0" locked="0" layoutInCell="1" allowOverlap="1">
            <wp:simplePos x="0" y="0"/>
            <wp:positionH relativeFrom="margin">
              <wp:posOffset>1805305</wp:posOffset>
            </wp:positionH>
            <wp:positionV relativeFrom="paragraph">
              <wp:posOffset>106045</wp:posOffset>
            </wp:positionV>
            <wp:extent cx="1818640" cy="1590675"/>
            <wp:effectExtent l="0" t="0" r="0" b="0"/>
            <wp:wrapTopAndBottom/>
            <wp:docPr id="209" name="图片 209" descr="C:\Users\s10086\Desktop\正式规则\设计相关\配图\配图制作\Starter_02\Starter_01_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C:\Users\s10086\Desktop\正式规则\设计相关\配图\配图制作\Starter_02\Starter_01_004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18640" cy="1590675"/>
                    </a:xfrm>
                    <a:prstGeom prst="rect">
                      <a:avLst/>
                    </a:prstGeom>
                    <a:noFill/>
                    <a:ln>
                      <a:noFill/>
                    </a:ln>
                  </pic:spPr>
                </pic:pic>
              </a:graphicData>
            </a:graphic>
          </wp:anchor>
        </w:drawing>
      </w:r>
      <w:r>
        <w:rPr>
          <w:rFonts w:hint="eastAsia" w:ascii="仿宋" w:hAnsi="仿宋" w:eastAsia="仿宋" w:cs="仿宋"/>
          <w:color w:val="000000" w:themeColor="text1"/>
          <w:sz w:val="22"/>
          <w:szCs w:val="22"/>
        </w:rPr>
        <w:t>4.4比赛计分说明</w:t>
      </w:r>
      <w:bookmarkEnd w:id="12"/>
      <w:bookmarkEnd w:id="13"/>
      <w:bookmarkEnd w:id="14"/>
      <w:bookmarkEnd w:id="15"/>
    </w:p>
    <w:p>
      <w:pPr>
        <w:pStyle w:val="30"/>
        <w:spacing w:line="420" w:lineRule="exact"/>
        <w:rPr>
          <w:rFonts w:ascii="仿宋" w:hAnsi="仿宋" w:eastAsia="仿宋" w:cs="仿宋"/>
        </w:rPr>
      </w:pPr>
      <w:r>
        <w:rPr>
          <w:rFonts w:hint="eastAsia" w:ascii="仿宋" w:hAnsi="仿宋" w:eastAsia="仿宋" w:cs="仿宋"/>
        </w:rPr>
        <w:t>全场比赛中，裁判只在两个时刻计分，分别是自动控制阶段结束后和手动控制阶段结束后。在比赛过程中，</w:t>
      </w:r>
      <w:r>
        <w:rPr>
          <w:rFonts w:hint="eastAsia" w:ascii="仿宋" w:hAnsi="仿宋" w:eastAsia="仿宋" w:cs="仿宋"/>
          <w:lang w:val="en-GB"/>
        </w:rPr>
        <w:t>裁判会实时监控比赛的进程，记录警告与违例情况</w:t>
      </w:r>
    </w:p>
    <w:p>
      <w:pPr>
        <w:pStyle w:val="30"/>
        <w:spacing w:line="420" w:lineRule="exact"/>
        <w:rPr>
          <w:rFonts w:ascii="仿宋" w:hAnsi="仿宋" w:eastAsia="仿宋" w:cs="仿宋"/>
          <w:color w:val="auto"/>
          <w:lang w:val="en-GB"/>
        </w:rPr>
      </w:pPr>
      <w:r>
        <w:rPr>
          <w:rFonts w:hint="eastAsia" w:ascii="仿宋" w:hAnsi="仿宋" w:eastAsia="仿宋" w:cs="仿宋"/>
          <w:kern w:val="0"/>
        </w:rPr>
        <w:t>自动控制阶段的计分将在自动控制阶段结束后的准备阶段中进行，</w:t>
      </w:r>
      <w:r>
        <w:rPr>
          <w:rFonts w:hint="eastAsia" w:ascii="仿宋" w:hAnsi="仿宋" w:eastAsia="仿宋" w:cs="仿宋"/>
          <w:lang w:val="en-GB"/>
        </w:rPr>
        <w:t>裁判会根据得分道具的状态计算相应的独立任务（M01-M05）和联盟任务（M06-M09）得分</w:t>
      </w:r>
      <w:r>
        <w:rPr>
          <w:rFonts w:hint="eastAsia" w:ascii="仿宋" w:hAnsi="仿宋" w:eastAsia="仿宋" w:cs="仿宋"/>
          <w:kern w:val="0"/>
        </w:rPr>
        <w:t>。计分过后，</w:t>
      </w:r>
      <w:r>
        <w:rPr>
          <w:rFonts w:hint="eastAsia" w:ascii="仿宋" w:hAnsi="仿宋" w:eastAsia="仿宋" w:cs="仿宋"/>
          <w:lang w:val="en-GB"/>
        </w:rPr>
        <w:t>参赛队员或机器人后续操作均不会影响已获得的分数。</w:t>
      </w:r>
      <w:r>
        <w:rPr>
          <w:rFonts w:hint="eastAsia" w:ascii="仿宋" w:hAnsi="仿宋" w:eastAsia="仿宋" w:cs="仿宋"/>
          <w:color w:val="auto"/>
          <w:lang w:val="en-GB"/>
        </w:rPr>
        <w:t>同一个得分道具，在同一个计分时段将不会重复得分。</w:t>
      </w:r>
    </w:p>
    <w:p>
      <w:pPr>
        <w:pStyle w:val="30"/>
        <w:spacing w:line="420" w:lineRule="exact"/>
        <w:rPr>
          <w:rFonts w:ascii="仿宋" w:hAnsi="仿宋" w:eastAsia="仿宋" w:cs="仿宋"/>
          <w:lang w:val="en-GB"/>
        </w:rPr>
      </w:pPr>
      <w:r>
        <w:rPr>
          <w:rFonts w:hint="eastAsia" w:ascii="仿宋" w:hAnsi="仿宋" w:eastAsia="仿宋" w:cs="仿宋"/>
          <w:lang w:val="en-GB"/>
        </w:rPr>
        <w:t>当手动控制阶段结束后，裁判会根据容器内</w:t>
      </w:r>
      <w:r>
        <w:rPr>
          <w:rFonts w:hint="eastAsia" w:ascii="仿宋" w:hAnsi="仿宋" w:eastAsia="仿宋" w:cs="仿宋"/>
          <w:b/>
          <w:lang w:val="en-GB"/>
        </w:rPr>
        <w:t>球</w:t>
      </w:r>
      <w:r>
        <w:rPr>
          <w:rFonts w:hint="eastAsia" w:ascii="仿宋" w:hAnsi="仿宋" w:eastAsia="仿宋" w:cs="仿宋"/>
          <w:lang w:val="en-GB"/>
        </w:rPr>
        <w:t>的数量与颜色计算联盟（M10）得分。</w:t>
      </w:r>
    </w:p>
    <w:p>
      <w:pPr>
        <w:pStyle w:val="64"/>
        <w:spacing w:line="420" w:lineRule="exact"/>
        <w:rPr>
          <w:rFonts w:ascii="仿宋" w:hAnsi="仿宋" w:eastAsia="仿宋" w:cs="仿宋"/>
        </w:rPr>
      </w:pPr>
      <w:r>
        <w:rPr>
          <w:rFonts w:hint="eastAsia" w:ascii="仿宋" w:hAnsi="仿宋" w:eastAsia="仿宋" w:cs="仿宋"/>
        </w:rPr>
        <w:t>本方独立任务得分</w:t>
      </w:r>
    </w:p>
    <w:p>
      <w:pPr>
        <w:pStyle w:val="30"/>
        <w:spacing w:line="420" w:lineRule="exact"/>
        <w:rPr>
          <w:rFonts w:ascii="仿宋" w:hAnsi="仿宋" w:eastAsia="仿宋" w:cs="仿宋"/>
        </w:rPr>
      </w:pPr>
      <w:r>
        <w:rPr>
          <w:rFonts w:hint="eastAsia" w:ascii="仿宋" w:hAnsi="仿宋" w:eastAsia="仿宋" w:cs="仿宋"/>
        </w:rPr>
        <w:t>本方独立任务得分由自动控制阶段中的独立任务（M01-M05）得分相加构成。</w:t>
      </w:r>
    </w:p>
    <w:tbl>
      <w:tblPr>
        <w:tblStyle w:val="8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528"/>
        <w:gridCol w:w="1753"/>
        <w:gridCol w:w="175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Borders>
              <w:top w:val="single" w:color="5B9BD5" w:themeColor="accent1" w:sz="4" w:space="0"/>
              <w:left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得分道具</w:t>
            </w:r>
          </w:p>
        </w:tc>
        <w:tc>
          <w:tcPr>
            <w:tcW w:w="1528"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道具数量</w:t>
            </w:r>
          </w:p>
        </w:tc>
        <w:tc>
          <w:tcPr>
            <w:tcW w:w="1753"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得分状态</w:t>
            </w:r>
          </w:p>
        </w:tc>
        <w:tc>
          <w:tcPr>
            <w:tcW w:w="1753"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单个分值</w:t>
            </w:r>
          </w:p>
        </w:tc>
        <w:tc>
          <w:tcPr>
            <w:tcW w:w="1751" w:type="dxa"/>
            <w:tcBorders>
              <w:top w:val="single" w:color="5B9BD5" w:themeColor="accent1" w:sz="4" w:space="0"/>
              <w:bottom w:val="single" w:color="5B9BD5" w:themeColor="accent1" w:sz="4" w:space="0"/>
              <w:right w:val="single" w:color="5B9BD5" w:themeColor="accent1" w:sz="4" w:space="0"/>
              <w:insideH w:val="single" w:sz="4" w:space="0"/>
              <w:insideV w:val="nil"/>
            </w:tcBorders>
            <w:shd w:val="clear" w:color="auto" w:fill="3F3F3F" w:themeFill="text1" w:themeFillTint="BF"/>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最高分数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7E7E7E" w:themeFill="text1" w:themeFillTint="80"/>
            <w:vAlign w:val="center"/>
          </w:tcPr>
          <w:p>
            <w:pPr>
              <w:spacing w:line="420" w:lineRule="exact"/>
              <w:jc w:val="center"/>
              <w:rPr>
                <w:rFonts w:ascii="仿宋" w:hAnsi="仿宋" w:eastAsia="仿宋" w:cs="仿宋"/>
                <w:b w:val="0"/>
                <w:bCs/>
                <w:sz w:val="24"/>
                <w:szCs w:val="21"/>
              </w:rPr>
            </w:pPr>
            <w:r>
              <w:rPr>
                <w:rFonts w:hint="eastAsia" w:ascii="仿宋" w:hAnsi="仿宋" w:eastAsia="仿宋" w:cs="仿宋"/>
                <w:b w:val="0"/>
                <w:bCs w:val="0"/>
                <w:sz w:val="24"/>
                <w:szCs w:val="21"/>
              </w:rPr>
              <w:t>红或蓝色小球</w:t>
            </w:r>
          </w:p>
        </w:tc>
        <w:tc>
          <w:tcPr>
            <w:tcW w:w="1528" w:type="dxa"/>
            <w:shd w:val="clear" w:color="auto" w:fill="7E7E7E" w:themeFill="text1" w:themeFillTint="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4</w:t>
            </w:r>
          </w:p>
        </w:tc>
        <w:tc>
          <w:tcPr>
            <w:tcW w:w="1753" w:type="dxa"/>
            <w:shd w:val="clear" w:color="auto" w:fill="7E7E7E" w:themeFill="text1" w:themeFillTint="80"/>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接触比赛场地</w:t>
            </w:r>
          </w:p>
        </w:tc>
        <w:tc>
          <w:tcPr>
            <w:tcW w:w="1753" w:type="dxa"/>
            <w:shd w:val="clear" w:color="auto" w:fill="7E7E7E" w:themeFill="text1" w:themeFillTint="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c>
          <w:tcPr>
            <w:tcW w:w="1751" w:type="dxa"/>
            <w:shd w:val="clear" w:color="auto" w:fill="7E7E7E" w:themeFill="text1" w:themeFillTint="80"/>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80分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auto"/>
            <w:vAlign w:val="center"/>
          </w:tcPr>
          <w:p>
            <w:pPr>
              <w:spacing w:line="420" w:lineRule="exact"/>
              <w:jc w:val="center"/>
              <w:rPr>
                <w:rFonts w:ascii="仿宋" w:hAnsi="仿宋" w:eastAsia="仿宋" w:cs="仿宋"/>
                <w:b w:val="0"/>
                <w:bCs/>
                <w:sz w:val="24"/>
                <w:szCs w:val="21"/>
              </w:rPr>
            </w:pPr>
            <w:r>
              <w:rPr>
                <w:rFonts w:hint="eastAsia" w:ascii="仿宋" w:hAnsi="仿宋" w:eastAsia="仿宋" w:cs="仿宋"/>
                <w:b w:val="0"/>
                <w:bCs w:val="0"/>
                <w:sz w:val="24"/>
                <w:szCs w:val="21"/>
              </w:rPr>
              <w:t>上层方块</w:t>
            </w:r>
          </w:p>
        </w:tc>
        <w:tc>
          <w:tcPr>
            <w:tcW w:w="1528"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1</w:t>
            </w:r>
          </w:p>
        </w:tc>
        <w:tc>
          <w:tcPr>
            <w:tcW w:w="1753" w:type="dxa"/>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接触比赛场地</w:t>
            </w:r>
          </w:p>
        </w:tc>
        <w:tc>
          <w:tcPr>
            <w:tcW w:w="1753"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c>
          <w:tcPr>
            <w:tcW w:w="1751" w:type="dxa"/>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7E7E7E" w:themeFill="text1" w:themeFillTint="80"/>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红或蓝色圆柱</w:t>
            </w:r>
          </w:p>
        </w:tc>
        <w:tc>
          <w:tcPr>
            <w:tcW w:w="1528" w:type="dxa"/>
            <w:shd w:val="clear" w:color="auto" w:fill="7E7E7E" w:themeFill="text1" w:themeFillTint="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1</w:t>
            </w:r>
          </w:p>
        </w:tc>
        <w:tc>
          <w:tcPr>
            <w:tcW w:w="1753" w:type="dxa"/>
            <w:shd w:val="clear" w:color="auto" w:fill="7E7E7E" w:themeFill="text1" w:themeFillTint="80"/>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位于原位</w:t>
            </w:r>
          </w:p>
        </w:tc>
        <w:tc>
          <w:tcPr>
            <w:tcW w:w="1753" w:type="dxa"/>
            <w:shd w:val="clear" w:color="auto" w:fill="7E7E7E" w:themeFill="text1" w:themeFillTint="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c>
          <w:tcPr>
            <w:tcW w:w="1751" w:type="dxa"/>
            <w:shd w:val="clear" w:color="auto" w:fill="7E7E7E" w:themeFill="text1" w:themeFillTint="80"/>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auto"/>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独立任务满分</w:t>
            </w:r>
          </w:p>
        </w:tc>
        <w:tc>
          <w:tcPr>
            <w:tcW w:w="1528"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53" w:type="dxa"/>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53"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51" w:type="dxa"/>
            <w:shd w:val="clear" w:color="auto" w:fill="auto"/>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120分</w:t>
            </w:r>
          </w:p>
        </w:tc>
      </w:tr>
    </w:tbl>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由于红/蓝方的方块和圆柱相加后数量为2，实际比赛中可能存在某一方中两个位置均为方块或者均为圆柱的情况，所以在上表方块与圆柱的道具数量中以数量为1作为例子。</w:t>
      </w:r>
    </w:p>
    <w:p>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方块和圆柱的单个分值一样，只要总数为2，将不会影响比赛分数的上限。</w:t>
      </w:r>
    </w:p>
    <w:p>
      <w:pPr>
        <w:pStyle w:val="64"/>
        <w:spacing w:line="420" w:lineRule="exact"/>
        <w:rPr>
          <w:rFonts w:ascii="仿宋" w:hAnsi="仿宋" w:eastAsia="仿宋" w:cs="仿宋"/>
        </w:rPr>
      </w:pPr>
      <w:r>
        <w:rPr>
          <w:rFonts w:hint="eastAsia" w:ascii="仿宋" w:hAnsi="仿宋" w:eastAsia="仿宋" w:cs="仿宋"/>
        </w:rPr>
        <w:t>联盟任务得分</w:t>
      </w:r>
    </w:p>
    <w:p>
      <w:pPr>
        <w:pStyle w:val="30"/>
        <w:spacing w:line="420" w:lineRule="exact"/>
        <w:rPr>
          <w:rFonts w:ascii="仿宋" w:hAnsi="仿宋" w:eastAsia="仿宋" w:cs="仿宋"/>
        </w:rPr>
      </w:pPr>
      <w:r>
        <w:rPr>
          <w:rFonts w:hint="eastAsia" w:ascii="仿宋" w:hAnsi="仿宋" w:eastAsia="仿宋" w:cs="仿宋"/>
        </w:rPr>
        <w:t>联盟任务得分由自动控制阶段中的联盟任务（M06-M09）的得分和手动控制阶段中的联盟任务（M10）的得分相加构成。</w:t>
      </w:r>
    </w:p>
    <w:p>
      <w:pPr>
        <w:pStyle w:val="30"/>
        <w:spacing w:line="420" w:lineRule="exact"/>
        <w:ind w:firstLine="0"/>
        <w:rPr>
          <w:rFonts w:ascii="仿宋" w:hAnsi="仿宋" w:eastAsia="仿宋" w:cs="仿宋"/>
          <w:b/>
        </w:rPr>
      </w:pPr>
      <w:r>
        <w:rPr>
          <w:rFonts w:hint="eastAsia" w:ascii="仿宋" w:hAnsi="仿宋" w:eastAsia="仿宋" w:cs="仿宋"/>
          <w:b/>
        </w:rPr>
        <w:t>自动联盟任务得分：</w:t>
      </w:r>
    </w:p>
    <w:tbl>
      <w:tblPr>
        <w:tblStyle w:val="8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451"/>
        <w:gridCol w:w="1779"/>
        <w:gridCol w:w="1779"/>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tcBorders>
              <w:top w:val="single" w:color="5B9BD5" w:themeColor="accent1" w:sz="4" w:space="0"/>
              <w:left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得分道具</w:t>
            </w:r>
          </w:p>
        </w:tc>
        <w:tc>
          <w:tcPr>
            <w:tcW w:w="1451"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道具数量</w:t>
            </w:r>
          </w:p>
        </w:tc>
        <w:tc>
          <w:tcPr>
            <w:tcW w:w="1779"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得分状态</w:t>
            </w:r>
          </w:p>
        </w:tc>
        <w:tc>
          <w:tcPr>
            <w:tcW w:w="1779"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单个分值</w:t>
            </w:r>
          </w:p>
        </w:tc>
        <w:tc>
          <w:tcPr>
            <w:tcW w:w="1774" w:type="dxa"/>
            <w:tcBorders>
              <w:top w:val="single" w:color="5B9BD5" w:themeColor="accent1" w:sz="4" w:space="0"/>
              <w:bottom w:val="single" w:color="5B9BD5" w:themeColor="accent1" w:sz="4" w:space="0"/>
              <w:right w:val="single" w:color="5B9BD5" w:themeColor="accent1" w:sz="4" w:space="0"/>
              <w:insideH w:val="single" w:sz="4" w:space="0"/>
              <w:insideV w:val="nil"/>
            </w:tcBorders>
            <w:shd w:val="clear" w:color="auto" w:fill="3F3F3F" w:themeFill="text1" w:themeFillTint="BF"/>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最高分数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5" w:type="dxa"/>
            <w:shd w:val="clear" w:color="auto" w:fill="44964C" w:themeFill="background1" w:themeFillShade="80"/>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绿色小球</w:t>
            </w:r>
          </w:p>
        </w:tc>
        <w:tc>
          <w:tcPr>
            <w:tcW w:w="1451"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w:t>
            </w:r>
          </w:p>
        </w:tc>
        <w:tc>
          <w:tcPr>
            <w:tcW w:w="1779"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保持初始状态</w:t>
            </w:r>
          </w:p>
        </w:tc>
        <w:tc>
          <w:tcPr>
            <w:tcW w:w="1779"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c>
          <w:tcPr>
            <w:tcW w:w="1774"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auto"/>
            <w:vAlign w:val="center"/>
          </w:tcPr>
          <w:p>
            <w:pPr>
              <w:spacing w:line="420" w:lineRule="exact"/>
              <w:jc w:val="center"/>
              <w:rPr>
                <w:rFonts w:ascii="仿宋" w:hAnsi="仿宋" w:eastAsia="仿宋" w:cs="仿宋"/>
                <w:b w:val="0"/>
                <w:bCs/>
                <w:sz w:val="24"/>
                <w:szCs w:val="21"/>
              </w:rPr>
            </w:pPr>
            <w:r>
              <w:rPr>
                <w:rFonts w:hint="eastAsia" w:ascii="仿宋" w:hAnsi="仿宋" w:eastAsia="仿宋" w:cs="仿宋"/>
                <w:b w:val="0"/>
                <w:bCs w:val="0"/>
                <w:sz w:val="24"/>
                <w:szCs w:val="21"/>
              </w:rPr>
              <w:t>黄色大球</w:t>
            </w:r>
          </w:p>
        </w:tc>
        <w:tc>
          <w:tcPr>
            <w:tcW w:w="1451"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1</w:t>
            </w:r>
          </w:p>
        </w:tc>
        <w:tc>
          <w:tcPr>
            <w:tcW w:w="1779" w:type="dxa"/>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掉入比赛场地</w:t>
            </w:r>
          </w:p>
        </w:tc>
        <w:tc>
          <w:tcPr>
            <w:tcW w:w="1779"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30分</w:t>
            </w:r>
          </w:p>
        </w:tc>
        <w:tc>
          <w:tcPr>
            <w:tcW w:w="1774" w:type="dxa"/>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5" w:type="dxa"/>
            <w:shd w:val="clear" w:color="auto" w:fill="auto"/>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自动联盟满分</w:t>
            </w:r>
          </w:p>
        </w:tc>
        <w:tc>
          <w:tcPr>
            <w:tcW w:w="1451"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79" w:type="dxa"/>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79"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74" w:type="dxa"/>
            <w:shd w:val="clear" w:color="auto" w:fill="auto"/>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70分</w:t>
            </w:r>
          </w:p>
        </w:tc>
      </w:tr>
    </w:tbl>
    <w:p>
      <w:pPr>
        <w:pStyle w:val="30"/>
        <w:spacing w:line="420" w:lineRule="exact"/>
        <w:ind w:firstLine="0"/>
        <w:rPr>
          <w:rFonts w:ascii="仿宋" w:hAnsi="仿宋" w:eastAsia="仿宋" w:cs="仿宋"/>
        </w:rPr>
      </w:pPr>
    </w:p>
    <w:p>
      <w:pPr>
        <w:pStyle w:val="30"/>
        <w:spacing w:line="420" w:lineRule="exact"/>
        <w:ind w:firstLine="0"/>
        <w:rPr>
          <w:rFonts w:ascii="仿宋" w:hAnsi="仿宋" w:eastAsia="仿宋" w:cs="仿宋"/>
          <w:b/>
        </w:rPr>
      </w:pPr>
      <w:r>
        <w:rPr>
          <w:rFonts w:hint="eastAsia" w:ascii="仿宋" w:hAnsi="仿宋" w:eastAsia="仿宋" w:cs="仿宋"/>
          <w:b/>
        </w:rPr>
        <w:t>手动联盟任务得分：</w:t>
      </w:r>
    </w:p>
    <w:tbl>
      <w:tblPr>
        <w:tblStyle w:val="8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451"/>
        <w:gridCol w:w="1779"/>
        <w:gridCol w:w="1779"/>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tcBorders>
              <w:top w:val="single" w:color="5B9BD5" w:themeColor="accent1" w:sz="4" w:space="0"/>
              <w:left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jc w:val="center"/>
              <w:rPr>
                <w:rFonts w:ascii="仿宋" w:hAnsi="仿宋" w:eastAsia="仿宋" w:cs="仿宋"/>
                <w:b/>
                <w:bCs/>
                <w:color w:val="CCE8CF" w:themeColor="background1"/>
                <w:sz w:val="24"/>
              </w:rPr>
            </w:pPr>
            <w:r>
              <w:rPr>
                <w:rFonts w:hint="eastAsia" w:ascii="仿宋" w:hAnsi="仿宋" w:eastAsia="仿宋" w:cs="仿宋"/>
                <w:b/>
                <w:bCs/>
                <w:color w:val="CCE8CF" w:themeColor="background1"/>
                <w:sz w:val="24"/>
              </w:rPr>
              <w:t>得分道具</w:t>
            </w:r>
          </w:p>
        </w:tc>
        <w:tc>
          <w:tcPr>
            <w:tcW w:w="1451"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道具数量</w:t>
            </w:r>
          </w:p>
        </w:tc>
        <w:tc>
          <w:tcPr>
            <w:tcW w:w="1779"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得分状态</w:t>
            </w:r>
          </w:p>
        </w:tc>
        <w:tc>
          <w:tcPr>
            <w:tcW w:w="1779" w:type="dxa"/>
            <w:tcBorders>
              <w:top w:val="single" w:color="5B9BD5" w:themeColor="accent1" w:sz="4" w:space="0"/>
              <w:bottom w:val="single" w:color="5B9BD5" w:themeColor="accent1" w:sz="4" w:space="0"/>
              <w:right w:val="nil"/>
              <w:insideH w:val="single" w:sz="4" w:space="0"/>
              <w:insideV w:val="nil"/>
            </w:tcBorders>
            <w:shd w:val="clear" w:color="auto" w:fill="3F3F3F" w:themeFill="text1" w:themeFillTint="BF"/>
            <w:vAlign w:val="center"/>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单个分值</w:t>
            </w:r>
          </w:p>
        </w:tc>
        <w:tc>
          <w:tcPr>
            <w:tcW w:w="1774" w:type="dxa"/>
            <w:tcBorders>
              <w:top w:val="single" w:color="5B9BD5" w:themeColor="accent1" w:sz="4" w:space="0"/>
              <w:bottom w:val="single" w:color="5B9BD5" w:themeColor="accent1" w:sz="4" w:space="0"/>
              <w:right w:val="single" w:color="5B9BD5" w:themeColor="accent1" w:sz="4" w:space="0"/>
              <w:insideH w:val="single" w:sz="4" w:space="0"/>
              <w:insideV w:val="nil"/>
            </w:tcBorders>
            <w:shd w:val="clear" w:color="auto" w:fill="3F3F3F" w:themeFill="text1" w:themeFillTint="BF"/>
          </w:tcPr>
          <w:p>
            <w:pPr>
              <w:spacing w:line="420" w:lineRule="exact"/>
              <w:jc w:val="center"/>
              <w:rPr>
                <w:rFonts w:ascii="仿宋" w:hAnsi="仿宋" w:eastAsia="仿宋" w:cs="仿宋"/>
                <w:b w:val="0"/>
                <w:bCs w:val="0"/>
                <w:color w:val="CCE8CF" w:themeColor="background1"/>
                <w:sz w:val="24"/>
                <w:szCs w:val="24"/>
              </w:rPr>
            </w:pPr>
            <w:r>
              <w:rPr>
                <w:rFonts w:hint="eastAsia" w:ascii="仿宋" w:hAnsi="仿宋" w:eastAsia="仿宋" w:cs="仿宋"/>
                <w:b w:val="0"/>
                <w:bCs w:val="0"/>
                <w:color w:val="CCE8CF" w:themeColor="background1"/>
                <w:sz w:val="24"/>
                <w:szCs w:val="24"/>
              </w:rPr>
              <w:t>最高分数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44964C" w:themeFill="background1" w:themeFillShade="80"/>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蓝色小球</w:t>
            </w:r>
          </w:p>
        </w:tc>
        <w:tc>
          <w:tcPr>
            <w:tcW w:w="1451"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4</w:t>
            </w:r>
          </w:p>
        </w:tc>
        <w:tc>
          <w:tcPr>
            <w:tcW w:w="1779" w:type="dxa"/>
            <w:shd w:val="clear" w:color="auto" w:fill="44964C" w:themeFill="background1" w:themeFillShade="80"/>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进入容器</w:t>
            </w:r>
          </w:p>
        </w:tc>
        <w:tc>
          <w:tcPr>
            <w:tcW w:w="1779"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c>
          <w:tcPr>
            <w:tcW w:w="1774" w:type="dxa"/>
            <w:shd w:val="clear" w:color="auto" w:fill="44964C" w:themeFill="background1" w:themeFillShade="80"/>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80分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auto"/>
            <w:vAlign w:val="center"/>
          </w:tcPr>
          <w:p>
            <w:pPr>
              <w:spacing w:line="420" w:lineRule="exact"/>
              <w:jc w:val="center"/>
              <w:rPr>
                <w:rFonts w:ascii="仿宋" w:hAnsi="仿宋" w:eastAsia="仿宋" w:cs="仿宋"/>
                <w:b w:val="0"/>
                <w:bCs w:val="0"/>
                <w:sz w:val="24"/>
                <w:szCs w:val="24"/>
              </w:rPr>
            </w:pPr>
            <w:r>
              <w:rPr>
                <w:rFonts w:hint="eastAsia" w:ascii="仿宋" w:hAnsi="仿宋" w:eastAsia="仿宋" w:cs="仿宋"/>
                <w:b w:val="0"/>
                <w:bCs w:val="0"/>
                <w:sz w:val="24"/>
                <w:szCs w:val="21"/>
              </w:rPr>
              <w:t>红色小球</w:t>
            </w:r>
          </w:p>
        </w:tc>
        <w:tc>
          <w:tcPr>
            <w:tcW w:w="1451" w:type="dxa"/>
            <w:shd w:val="clear" w:color="auto" w:fill="auto"/>
            <w:vAlign w:val="center"/>
          </w:tcPr>
          <w:p>
            <w:pPr>
              <w:spacing w:line="420" w:lineRule="exact"/>
              <w:jc w:val="center"/>
              <w:rPr>
                <w:rFonts w:ascii="仿宋" w:hAnsi="仿宋" w:eastAsia="仿宋" w:cs="仿宋"/>
                <w:b/>
                <w:bCs/>
                <w:sz w:val="24"/>
                <w:szCs w:val="24"/>
              </w:rPr>
            </w:pPr>
            <w:r>
              <w:rPr>
                <w:rFonts w:hint="eastAsia" w:ascii="仿宋" w:hAnsi="仿宋" w:eastAsia="仿宋" w:cs="仿宋"/>
                <w:b/>
                <w:bCs/>
                <w:sz w:val="24"/>
                <w:szCs w:val="24"/>
              </w:rPr>
              <w:t>4</w:t>
            </w:r>
          </w:p>
        </w:tc>
        <w:tc>
          <w:tcPr>
            <w:tcW w:w="1779" w:type="dxa"/>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进入容器</w:t>
            </w:r>
          </w:p>
        </w:tc>
        <w:tc>
          <w:tcPr>
            <w:tcW w:w="1779" w:type="dxa"/>
            <w:shd w:val="clear" w:color="auto" w:fill="auto"/>
            <w:vAlign w:val="center"/>
          </w:tcPr>
          <w:p>
            <w:pPr>
              <w:spacing w:line="420" w:lineRule="exact"/>
              <w:jc w:val="center"/>
              <w:rPr>
                <w:rFonts w:ascii="仿宋" w:hAnsi="仿宋" w:eastAsia="仿宋" w:cs="仿宋"/>
                <w:b/>
                <w:bCs/>
                <w:sz w:val="24"/>
                <w:szCs w:val="24"/>
              </w:rPr>
            </w:pPr>
            <w:r>
              <w:rPr>
                <w:rFonts w:hint="eastAsia" w:ascii="仿宋" w:hAnsi="仿宋" w:eastAsia="仿宋" w:cs="仿宋"/>
                <w:bCs/>
                <w:sz w:val="24"/>
                <w:szCs w:val="21"/>
              </w:rPr>
              <w:t>20分</w:t>
            </w:r>
          </w:p>
        </w:tc>
        <w:tc>
          <w:tcPr>
            <w:tcW w:w="1774" w:type="dxa"/>
            <w:shd w:val="clear" w:color="auto" w:fill="auto"/>
          </w:tcPr>
          <w:p>
            <w:pPr>
              <w:spacing w:line="420" w:lineRule="exact"/>
              <w:jc w:val="center"/>
              <w:rPr>
                <w:rFonts w:ascii="仿宋" w:hAnsi="仿宋" w:eastAsia="仿宋" w:cs="仿宋"/>
                <w:b/>
                <w:bCs/>
                <w:sz w:val="24"/>
                <w:szCs w:val="24"/>
              </w:rPr>
            </w:pPr>
            <w:r>
              <w:rPr>
                <w:rFonts w:hint="eastAsia" w:ascii="仿宋" w:hAnsi="仿宋" w:eastAsia="仿宋" w:cs="仿宋"/>
                <w:bCs/>
                <w:sz w:val="24"/>
                <w:szCs w:val="21"/>
              </w:rPr>
              <w:t>80分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auto"/>
            <w:vAlign w:val="center"/>
          </w:tcPr>
          <w:p>
            <w:pPr>
              <w:spacing w:line="420" w:lineRule="exact"/>
              <w:jc w:val="center"/>
              <w:rPr>
                <w:rFonts w:ascii="仿宋" w:hAnsi="仿宋" w:eastAsia="仿宋" w:cs="仿宋"/>
                <w:b w:val="0"/>
                <w:bCs/>
                <w:sz w:val="24"/>
                <w:szCs w:val="21"/>
              </w:rPr>
            </w:pPr>
            <w:r>
              <w:rPr>
                <w:rFonts w:hint="eastAsia" w:ascii="仿宋" w:hAnsi="仿宋" w:eastAsia="仿宋" w:cs="仿宋"/>
                <w:b w:val="0"/>
                <w:bCs w:val="0"/>
                <w:sz w:val="24"/>
                <w:szCs w:val="21"/>
              </w:rPr>
              <w:t>黄色大球</w:t>
            </w:r>
          </w:p>
        </w:tc>
        <w:tc>
          <w:tcPr>
            <w:tcW w:w="1451"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1</w:t>
            </w:r>
          </w:p>
        </w:tc>
        <w:tc>
          <w:tcPr>
            <w:tcW w:w="1779" w:type="dxa"/>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进入容器上方</w:t>
            </w:r>
          </w:p>
        </w:tc>
        <w:tc>
          <w:tcPr>
            <w:tcW w:w="1779"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30分</w:t>
            </w:r>
          </w:p>
        </w:tc>
        <w:tc>
          <w:tcPr>
            <w:tcW w:w="1774" w:type="dxa"/>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auto"/>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绿色小球</w:t>
            </w:r>
          </w:p>
        </w:tc>
        <w:tc>
          <w:tcPr>
            <w:tcW w:w="1451"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w:t>
            </w:r>
          </w:p>
        </w:tc>
        <w:tc>
          <w:tcPr>
            <w:tcW w:w="1779" w:type="dxa"/>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进入容器</w:t>
            </w:r>
          </w:p>
        </w:tc>
        <w:tc>
          <w:tcPr>
            <w:tcW w:w="1779"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20分</w:t>
            </w:r>
          </w:p>
        </w:tc>
        <w:tc>
          <w:tcPr>
            <w:tcW w:w="1774" w:type="dxa"/>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44964C" w:themeFill="background1" w:themeFillShade="80"/>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白色小球</w:t>
            </w:r>
          </w:p>
        </w:tc>
        <w:tc>
          <w:tcPr>
            <w:tcW w:w="1451"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25</w:t>
            </w:r>
          </w:p>
        </w:tc>
        <w:tc>
          <w:tcPr>
            <w:tcW w:w="1779"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进入容器</w:t>
            </w:r>
          </w:p>
        </w:tc>
        <w:tc>
          <w:tcPr>
            <w:tcW w:w="1779"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10分</w:t>
            </w:r>
          </w:p>
        </w:tc>
        <w:tc>
          <w:tcPr>
            <w:tcW w:w="1774" w:type="dxa"/>
            <w:shd w:val="clear" w:color="auto" w:fill="44964C" w:themeFill="background1" w:themeFillShade="80"/>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250分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shd w:val="clear" w:color="auto" w:fill="auto"/>
            <w:vAlign w:val="center"/>
          </w:tcPr>
          <w:p>
            <w:pPr>
              <w:spacing w:line="420" w:lineRule="exact"/>
              <w:jc w:val="center"/>
              <w:rPr>
                <w:rFonts w:ascii="仿宋" w:hAnsi="仿宋" w:eastAsia="仿宋" w:cs="仿宋"/>
                <w:b w:val="0"/>
                <w:bCs w:val="0"/>
                <w:sz w:val="24"/>
                <w:szCs w:val="21"/>
              </w:rPr>
            </w:pPr>
            <w:r>
              <w:rPr>
                <w:rFonts w:hint="eastAsia" w:ascii="仿宋" w:hAnsi="仿宋" w:eastAsia="仿宋" w:cs="仿宋"/>
                <w:b w:val="0"/>
                <w:bCs w:val="0"/>
                <w:sz w:val="24"/>
                <w:szCs w:val="21"/>
              </w:rPr>
              <w:t>手动联盟满分</w:t>
            </w:r>
          </w:p>
        </w:tc>
        <w:tc>
          <w:tcPr>
            <w:tcW w:w="1451"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79" w:type="dxa"/>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79" w:type="dxa"/>
            <w:shd w:val="clear" w:color="auto" w:fill="auto"/>
            <w:vAlign w:val="center"/>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w:t>
            </w:r>
          </w:p>
        </w:tc>
        <w:tc>
          <w:tcPr>
            <w:tcW w:w="1774" w:type="dxa"/>
            <w:shd w:val="clear" w:color="auto" w:fill="auto"/>
          </w:tcPr>
          <w:p>
            <w:pPr>
              <w:spacing w:line="420" w:lineRule="exact"/>
              <w:jc w:val="center"/>
              <w:rPr>
                <w:rFonts w:ascii="仿宋" w:hAnsi="仿宋" w:eastAsia="仿宋" w:cs="仿宋"/>
                <w:bCs/>
                <w:sz w:val="24"/>
                <w:szCs w:val="21"/>
              </w:rPr>
            </w:pPr>
            <w:r>
              <w:rPr>
                <w:rFonts w:hint="eastAsia" w:ascii="仿宋" w:hAnsi="仿宋" w:eastAsia="仿宋" w:cs="仿宋"/>
                <w:bCs/>
                <w:sz w:val="24"/>
                <w:szCs w:val="21"/>
              </w:rPr>
              <w:t>480分</w:t>
            </w:r>
          </w:p>
        </w:tc>
      </w:tr>
    </w:tbl>
    <w:p>
      <w:pPr>
        <w:pStyle w:val="30"/>
        <w:spacing w:line="420" w:lineRule="exact"/>
        <w:ind w:firstLine="0"/>
        <w:rPr>
          <w:rFonts w:ascii="仿宋" w:hAnsi="仿宋" w:eastAsia="仿宋" w:cs="仿宋"/>
        </w:rPr>
      </w:pPr>
    </w:p>
    <w:p>
      <w:pPr>
        <w:pStyle w:val="64"/>
        <w:spacing w:line="420" w:lineRule="exact"/>
        <w:rPr>
          <w:rFonts w:ascii="仿宋" w:hAnsi="仿宋" w:eastAsia="仿宋" w:cs="仿宋"/>
        </w:rPr>
      </w:pPr>
      <w:r>
        <w:rPr>
          <w:rFonts w:hint="eastAsia" w:ascii="仿宋" w:hAnsi="仿宋" w:eastAsia="仿宋" w:cs="仿宋"/>
        </w:rPr>
        <w:t>单场得分</w:t>
      </w:r>
    </w:p>
    <w:p>
      <w:pPr>
        <w:pStyle w:val="30"/>
        <w:spacing w:line="420" w:lineRule="exact"/>
        <w:rPr>
          <w:rFonts w:ascii="仿宋" w:hAnsi="仿宋" w:eastAsia="仿宋" w:cs="仿宋"/>
          <w:color w:val="auto"/>
        </w:rPr>
      </w:pPr>
      <w:r>
        <w:rPr>
          <w:rFonts w:hint="eastAsia" w:ascii="仿宋" w:hAnsi="仿宋" w:eastAsia="仿宋" w:cs="仿宋"/>
          <w:lang w:val="en-GB"/>
        </w:rPr>
        <w:t>单场比赛结束后，裁判将确认</w:t>
      </w:r>
      <w:r>
        <w:rPr>
          <w:rFonts w:hint="eastAsia" w:ascii="仿宋" w:hAnsi="仿宋" w:eastAsia="仿宋" w:cs="仿宋"/>
          <w:b/>
          <w:lang w:val="en-GB"/>
        </w:rPr>
        <w:t>战队</w:t>
      </w:r>
      <w:r>
        <w:rPr>
          <w:rFonts w:hint="eastAsia" w:ascii="仿宋" w:hAnsi="仿宋" w:eastAsia="仿宋" w:cs="仿宋"/>
          <w:lang w:val="en-GB"/>
        </w:rPr>
        <w:t>单场得分，每支</w:t>
      </w:r>
      <w:r>
        <w:rPr>
          <w:rFonts w:hint="eastAsia" w:ascii="仿宋" w:hAnsi="仿宋" w:eastAsia="仿宋" w:cs="仿宋"/>
          <w:b/>
          <w:lang w:val="en-GB"/>
        </w:rPr>
        <w:t>战队</w:t>
      </w:r>
      <w:r>
        <w:rPr>
          <w:rFonts w:hint="eastAsia" w:ascii="仿宋" w:hAnsi="仿宋" w:eastAsia="仿宋" w:cs="仿宋"/>
          <w:lang w:val="en-GB"/>
        </w:rPr>
        <w:t>单场得分由三部分构成：独立任务得分、联盟任务得分与违例扣分。</w:t>
      </w:r>
      <w:r>
        <w:rPr>
          <w:rFonts w:hint="eastAsia" w:ascii="仿宋" w:hAnsi="仿宋" w:eastAsia="仿宋" w:cs="仿宋"/>
          <w:b/>
          <w:color w:val="auto"/>
          <w:szCs w:val="24"/>
        </w:rPr>
        <w:t>单场得分</w:t>
      </w:r>
      <w:r>
        <w:rPr>
          <w:rFonts w:hint="eastAsia" w:ascii="仿宋" w:hAnsi="仿宋" w:eastAsia="仿宋" w:cs="仿宋"/>
          <w:color w:val="auto"/>
        </w:rPr>
        <w:t>将用于计算资格排位赛排名或冠军争夺赛排名。</w:t>
      </w:r>
    </w:p>
    <w:p>
      <w:pPr>
        <w:pStyle w:val="30"/>
        <w:spacing w:line="420" w:lineRule="exact"/>
        <w:rPr>
          <w:rFonts w:ascii="仿宋" w:hAnsi="仿宋" w:eastAsia="仿宋" w:cs="仿宋"/>
          <w:lang w:val="en-GB"/>
        </w:rPr>
      </w:pPr>
      <w:r>
        <w:rPr>
          <w:rFonts w:hint="eastAsia" w:ascii="仿宋" w:hAnsi="仿宋" w:eastAsia="仿宋" w:cs="仿宋"/>
          <w:lang w:val="en-GB"/>
        </w:rPr>
        <w:t>计算单场得分方式如下：</w:t>
      </w:r>
    </w:p>
    <w:p>
      <w:pPr>
        <w:pStyle w:val="30"/>
        <w:spacing w:line="420" w:lineRule="exact"/>
        <w:rPr>
          <w:rFonts w:ascii="仿宋" w:hAnsi="仿宋" w:eastAsia="仿宋" w:cs="仿宋"/>
          <w:color w:val="auto"/>
          <w:lang w:val="en-GB"/>
        </w:rPr>
      </w:pPr>
      <w:r>
        <w:rPr>
          <w:rFonts w:hint="eastAsia" w:ascii="仿宋" w:hAnsi="仿宋" w:eastAsia="仿宋" w:cs="仿宋"/>
          <w:b/>
          <w:bCs/>
          <w:lang w:val="en-GB"/>
        </w:rPr>
        <w:t xml:space="preserve">资格排位赛单场得分 = </w:t>
      </w:r>
      <w:r>
        <w:rPr>
          <w:rFonts w:hint="eastAsia" w:ascii="仿宋" w:hAnsi="仿宋" w:eastAsia="仿宋" w:cs="仿宋"/>
          <w:lang w:val="en-GB"/>
        </w:rPr>
        <w:t>本方独立任务得分 + 联盟任务得分（自动联盟+手</w:t>
      </w:r>
      <w:r>
        <w:rPr>
          <w:rFonts w:hint="eastAsia" w:ascii="仿宋" w:hAnsi="仿宋" w:eastAsia="仿宋" w:cs="仿宋"/>
          <w:color w:val="auto"/>
          <w:lang w:val="en-GB"/>
        </w:rPr>
        <w:t>动联盟） - 本方违例扣分</w:t>
      </w:r>
    </w:p>
    <w:p>
      <w:pPr>
        <w:pStyle w:val="30"/>
        <w:spacing w:line="420" w:lineRule="exact"/>
        <w:rPr>
          <w:rFonts w:ascii="仿宋" w:hAnsi="仿宋" w:eastAsia="仿宋" w:cs="仿宋"/>
          <w:color w:val="auto"/>
          <w:lang w:val="en-GB"/>
        </w:rPr>
      </w:pPr>
      <w:r>
        <w:rPr>
          <w:rFonts w:hint="eastAsia" w:ascii="仿宋" w:hAnsi="仿宋" w:eastAsia="仿宋" w:cs="仿宋"/>
          <w:b/>
          <w:bCs/>
          <w:color w:val="auto"/>
          <w:lang w:val="en-GB"/>
        </w:rPr>
        <w:t xml:space="preserve">冠军争夺战单场得分 = </w:t>
      </w:r>
      <w:r>
        <w:rPr>
          <w:rFonts w:hint="eastAsia" w:ascii="仿宋" w:hAnsi="仿宋" w:eastAsia="仿宋" w:cs="仿宋"/>
          <w:color w:val="auto"/>
          <w:lang w:val="en-GB"/>
        </w:rPr>
        <w:t>红方独立任务得分 + 蓝方独立任务得分 + 联盟任务得分（自动联盟+手动联盟） - 双方违例扣分</w:t>
      </w:r>
    </w:p>
    <w:p>
      <w:pPr>
        <w:pStyle w:val="30"/>
        <w:spacing w:line="420" w:lineRule="exact"/>
        <w:ind w:firstLine="0"/>
        <w:rPr>
          <w:rFonts w:ascii="仿宋" w:hAnsi="仿宋" w:eastAsia="仿宋" w:cs="仿宋"/>
        </w:rPr>
      </w:pPr>
    </w:p>
    <w:p>
      <w:pPr>
        <w:pStyle w:val="30"/>
        <w:spacing w:line="420" w:lineRule="exact"/>
        <w:ind w:firstLine="0"/>
        <w:rPr>
          <w:rFonts w:ascii="仿宋" w:hAnsi="仿宋" w:eastAsia="仿宋" w:cs="仿宋"/>
        </w:rPr>
      </w:pPr>
    </w:p>
    <w:p>
      <w:pPr>
        <w:pStyle w:val="30"/>
        <w:ind w:firstLine="0"/>
        <w:rPr>
          <w:rFonts w:ascii="仿宋" w:hAnsi="仿宋" w:eastAsia="仿宋" w:cs="仿宋"/>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fmt="decimal" w:start="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Regular">
    <w:altName w:val="黑体"/>
    <w:panose1 w:val="00000000000000000000"/>
    <w:charset w:val="86"/>
    <w:family w:val="swiss"/>
    <w:pitch w:val="default"/>
    <w:sig w:usb0="00000000" w:usb1="00000000" w:usb2="00000016" w:usb3="00000000" w:csb0="60060107" w:csb1="00000000"/>
  </w:font>
  <w:font w:name="微软雅黑">
    <w:panose1 w:val="020B0503020204020204"/>
    <w:charset w:val="86"/>
    <w:family w:val="auto"/>
    <w:pitch w:val="default"/>
    <w:sig w:usb0="80000287" w:usb1="280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思源黑体 CN Heavy">
    <w:altName w:val="黑体"/>
    <w:panose1 w:val="00000000000000000000"/>
    <w:charset w:val="86"/>
    <w:family w:val="swiss"/>
    <w:pitch w:val="default"/>
    <w:sig w:usb0="00000000" w:usb1="00000000" w:usb2="00000016" w:usb3="00000000" w:csb0="60060107"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156"/>
        <w:tab w:val="left" w:pos="5640"/>
        <w:tab w:val="clear" w:pos="4153"/>
        <w:tab w:val="clear" w:pos="8306"/>
      </w:tabs>
      <w:rPr>
        <w:b/>
        <w:color w:val="50B0CA"/>
        <w:sz w:val="21"/>
      </w:rPr>
    </w:pPr>
    <w:r>
      <w:rPr>
        <w:sz w:val="21"/>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思源黑体 CN Regula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思源黑体 CN Regula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66133"/>
    </w:sdtPr>
    <w:sdtContent>
      <w:p>
        <w:pPr>
          <w:pStyle w:val="10"/>
          <w:jc w:val="center"/>
          <w:rPr>
            <w:rFonts w:eastAsia="微软雅黑"/>
          </w:rPr>
        </w:pPr>
        <w:r>
          <w:rPr>
            <w:rFonts w:eastAsia="微软雅黑"/>
          </w:rPr>
          <w:fldChar w:fldCharType="begin"/>
        </w:r>
        <w:r>
          <w:rPr>
            <w:rFonts w:eastAsia="微软雅黑"/>
          </w:rPr>
          <w:instrText xml:space="preserve"> PAGE   \* MERGEFORMAT </w:instrText>
        </w:r>
        <w:r>
          <w:rPr>
            <w:rFonts w:eastAsia="微软雅黑"/>
          </w:rPr>
          <w:fldChar w:fldCharType="separate"/>
        </w:r>
        <w:r>
          <w:rPr>
            <w:rFonts w:eastAsia="微软雅黑"/>
          </w:rPr>
          <w:t>47</w:t>
        </w:r>
        <w:r>
          <w:rPr>
            <w:rFonts w:eastAsia="微软雅黑"/>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2739916"/>
    </w:sdtPr>
    <w:sdtContent>
      <w:p>
        <w:pPr>
          <w:pStyle w:val="10"/>
          <w:jc w:val="center"/>
        </w:pPr>
        <w:r>
          <w:fldChar w:fldCharType="begin"/>
        </w:r>
        <w:r>
          <w:instrText xml:space="preserve"> PAGE   \* MERGEFORMAT </w:instrText>
        </w:r>
        <w:r>
          <w:fldChar w:fldCharType="separate"/>
        </w:r>
        <w:r>
          <w:t>1</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ascii="Times New Roman" w:hAnsi="Times New Roman" w:eastAsia="Times New Roman" w:cs="Times New Roman"/>
        <w:color w:val="D64B40"/>
        <w:kern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eastAsia="微软雅黑"/>
        <w:sz w:val="18"/>
      </w:rPr>
    </w:pPr>
    <w:r>
      <w:rPr>
        <w:sz w:val="18"/>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8553450" cy="6049645"/>
          <wp:effectExtent l="0" t="0" r="0" b="0"/>
          <wp:wrapNone/>
          <wp:docPr id="81" name="WordPictureWatermark1060755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ordPictureWatermark106075504" descr="1"/>
                  <pic:cNvPicPr>
                    <a:picLocks noChangeAspect="1"/>
                  </pic:cNvPicPr>
                </pic:nvPicPr>
                <pic:blipFill>
                  <a:blip r:embed="rId1">
                    <a:lum bright="70001" contrast="-70000"/>
                  </a:blip>
                  <a:stretch>
                    <a:fillRect/>
                  </a:stretch>
                </pic:blipFill>
                <pic:spPr>
                  <a:xfrm>
                    <a:off x="0" y="0"/>
                    <a:ext cx="8553450" cy="6049645"/>
                  </a:xfrm>
                  <a:prstGeom prst="rect">
                    <a:avLst/>
                  </a:prstGeom>
                  <a:noFill/>
                  <a:ln>
                    <a:noFill/>
                  </a:ln>
                </pic:spPr>
              </pic:pic>
            </a:graphicData>
          </a:graphic>
        </wp:anchor>
      </w:drawing>
    </w:r>
    <w:r>
      <w:rPr>
        <w:sz w:val="18"/>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276215" cy="1370965"/>
          <wp:effectExtent l="0" t="0" r="0" b="0"/>
          <wp:wrapNone/>
          <wp:docPr id="87"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 descr="1"/>
                  <pic:cNvPicPr>
                    <a:picLocks noChangeAspect="1"/>
                  </pic:cNvPicPr>
                </pic:nvPicPr>
                <pic:blipFill>
                  <a:blip r:embed="rId2">
                    <a:lum bright="70001" contrast="-70000"/>
                  </a:blip>
                  <a:stretch>
                    <a:fillRect/>
                  </a:stretch>
                </pic:blipFill>
                <pic:spPr>
                  <a:xfrm>
                    <a:off x="0" y="0"/>
                    <a:ext cx="5276215" cy="1370965"/>
                  </a:xfrm>
                  <a:prstGeom prst="rect">
                    <a:avLst/>
                  </a:prstGeom>
                  <a:noFill/>
                  <a:ln>
                    <a:noFill/>
                  </a:ln>
                </pic:spPr>
              </pic:pic>
            </a:graphicData>
          </a:graphic>
        </wp:anchor>
      </w:drawing>
    </w:r>
    <w:r>
      <w:rPr>
        <w:sz w:val="18"/>
      </w:rPr>
      <w:t>M</w:t>
    </w:r>
    <w:r>
      <w:rPr>
        <w:rFonts w:hint="eastAsia"/>
        <w:sz w:val="18"/>
      </w:rPr>
      <w:t>ake</w:t>
    </w:r>
    <w:r>
      <w:rPr>
        <w:sz w:val="18"/>
      </w:rPr>
      <w:t>X</w:t>
    </w:r>
    <w:r>
      <w:rPr>
        <w:rFonts w:hint="eastAsia" w:eastAsia="思源黑体 CN Heavy"/>
        <w:sz w:val="18"/>
      </w:rPr>
      <w:t>机器人</w:t>
    </w:r>
    <w:r>
      <w:rPr>
        <w:rFonts w:hint="eastAsia"/>
        <w:sz w:val="18"/>
      </w:rPr>
      <w:t>挑战赛—智慧交通技术手册</w:t>
    </w:r>
    <w:r>
      <w:rPr>
        <w:rFonts w:eastAsia="微软雅黑"/>
        <w:sz w:val="18"/>
      </w:rPr>
      <w:drawing>
        <wp:anchor distT="0" distB="0" distL="114300" distR="114300" simplePos="0" relativeHeight="251650048" behindDoc="1" locked="0" layoutInCell="0" allowOverlap="1">
          <wp:simplePos x="0" y="0"/>
          <wp:positionH relativeFrom="margin">
            <wp:align>center</wp:align>
          </wp:positionH>
          <wp:positionV relativeFrom="margin">
            <wp:align>center</wp:align>
          </wp:positionV>
          <wp:extent cx="5273675" cy="1370330"/>
          <wp:effectExtent l="0" t="0" r="0" b="0"/>
          <wp:wrapNone/>
          <wp:docPr id="59" name="Picture 5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kex"/>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eastAsia="微软雅黑"/>
      </w:rP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8553450" cy="6049645"/>
          <wp:effectExtent l="0" t="0" r="0" b="0"/>
          <wp:wrapNone/>
          <wp:docPr id="79" name="WordPictureWatermark106075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ordPictureWatermark106075503" descr="1"/>
                  <pic:cNvPicPr>
                    <a:picLocks noChangeAspect="1"/>
                  </pic:cNvPicPr>
                </pic:nvPicPr>
                <pic:blipFill>
                  <a:blip r:embed="rId1">
                    <a:lum bright="70001" contrast="-70000"/>
                  </a:blip>
                  <a:stretch>
                    <a:fillRect/>
                  </a:stretch>
                </pic:blipFill>
                <pic:spPr>
                  <a:xfrm>
                    <a:off x="0" y="0"/>
                    <a:ext cx="8553450" cy="6049645"/>
                  </a:xfrm>
                  <a:prstGeom prst="rect">
                    <a:avLst/>
                  </a:prstGeom>
                  <a:noFill/>
                  <a:ln>
                    <a:noFill/>
                  </a:ln>
                </pic:spPr>
              </pic:pic>
            </a:graphicData>
          </a:graphic>
        </wp:anchor>
      </w:drawing>
    </w:r>
    <w:r>
      <w:t>M</w:t>
    </w:r>
    <w:r>
      <w:rPr>
        <w:rFonts w:hint="eastAsia"/>
      </w:rPr>
      <w:t>ake</w:t>
    </w:r>
    <w:r>
      <w:t>X</w:t>
    </w:r>
    <w:r>
      <w:rPr>
        <w:rFonts w:hint="eastAsia" w:eastAsia="思源黑体 CN Heavy"/>
      </w:rPr>
      <w:t>机器人</w:t>
    </w:r>
    <w:r>
      <w:rPr>
        <w:rFonts w:hint="eastAsia"/>
      </w:rPr>
      <w:t>挑战赛—智慧交通技术手册</w:t>
    </w:r>
    <w:r>
      <w:rPr>
        <w:rFonts w:eastAsia="微软雅黑"/>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3675" cy="1370330"/>
          <wp:effectExtent l="0" t="0" r="0" b="0"/>
          <wp:wrapNone/>
          <wp:docPr id="80" name="图片 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descr="makex"/>
                  <pic:cNvPicPr>
                    <a:picLocks noChangeAspect="1"/>
                  </pic:cNvPicPr>
                </pic:nvPicPr>
                <pic:blipFill>
                  <a:blip r:embed="rId2">
                    <a:lum bright="70001" contrast="-70000"/>
                  </a:blip>
                  <a:stretch>
                    <a:fillRect/>
                  </a:stretch>
                </pic:blipFill>
                <pic:spPr>
                  <a:xfrm>
                    <a:off x="0" y="0"/>
                    <a:ext cx="5273675" cy="13703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18F0"/>
    <w:multiLevelType w:val="multilevel"/>
    <w:tmpl w:val="04AA18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5C92DDA"/>
    <w:multiLevelType w:val="multilevel"/>
    <w:tmpl w:val="05C92D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74B02D0"/>
    <w:multiLevelType w:val="multilevel"/>
    <w:tmpl w:val="074B02D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7A92123"/>
    <w:multiLevelType w:val="multilevel"/>
    <w:tmpl w:val="07A92123"/>
    <w:lvl w:ilvl="0" w:tentative="0">
      <w:start w:val="1"/>
      <w:numFmt w:val="decimal"/>
      <w:pStyle w:val="37"/>
      <w:lvlText w:val="%1. "/>
      <w:lvlJc w:val="left"/>
      <w:pPr>
        <w:ind w:left="420" w:hanging="420"/>
      </w:pPr>
      <w:rPr>
        <w:rFonts w:hint="eastAsia"/>
      </w:rPr>
    </w:lvl>
    <w:lvl w:ilvl="1" w:tentative="0">
      <w:start w:val="1"/>
      <w:numFmt w:val="decimal"/>
      <w:pStyle w:val="34"/>
      <w:lvlText w:val="%1.%2"/>
      <w:lvlJc w:val="left"/>
      <w:pPr>
        <w:ind w:left="845"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9A9569E"/>
    <w:multiLevelType w:val="multilevel"/>
    <w:tmpl w:val="09A9569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1D24681"/>
    <w:multiLevelType w:val="multilevel"/>
    <w:tmpl w:val="11D2468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4ED7933"/>
    <w:multiLevelType w:val="multilevel"/>
    <w:tmpl w:val="14ED7933"/>
    <w:lvl w:ilvl="0" w:tentative="0">
      <w:start w:val="1"/>
      <w:numFmt w:val="decimalZero"/>
      <w:pStyle w:val="48"/>
      <w:lvlText w:val="R%1. "/>
      <w:lvlJc w:val="left"/>
      <w:pPr>
        <w:ind w:left="1213" w:hanging="362"/>
      </w:pPr>
      <w:rPr>
        <w:rFonts w:hint="eastAsia"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7">
    <w:nsid w:val="160A3FE4"/>
    <w:multiLevelType w:val="multilevel"/>
    <w:tmpl w:val="160A3F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8EA6FDE"/>
    <w:multiLevelType w:val="multilevel"/>
    <w:tmpl w:val="18EA6FD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E100A4B"/>
    <w:multiLevelType w:val="multilevel"/>
    <w:tmpl w:val="1E100A4B"/>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10">
    <w:nsid w:val="28CE2EA0"/>
    <w:multiLevelType w:val="multilevel"/>
    <w:tmpl w:val="28CE2EA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846"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A28BEC4"/>
    <w:multiLevelType w:val="singleLevel"/>
    <w:tmpl w:val="3A28BEC4"/>
    <w:lvl w:ilvl="0" w:tentative="0">
      <w:start w:val="3"/>
      <w:numFmt w:val="chineseCounting"/>
      <w:suff w:val="nothing"/>
      <w:lvlText w:val="%1、"/>
      <w:lvlJc w:val="left"/>
      <w:rPr>
        <w:rFonts w:hint="eastAsia"/>
      </w:rPr>
    </w:lvl>
  </w:abstractNum>
  <w:abstractNum w:abstractNumId="12">
    <w:nsid w:val="3D650981"/>
    <w:multiLevelType w:val="multilevel"/>
    <w:tmpl w:val="3D65098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44"/>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3E0A4511"/>
    <w:multiLevelType w:val="multilevel"/>
    <w:tmpl w:val="3E0A451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5087756"/>
    <w:multiLevelType w:val="multilevel"/>
    <w:tmpl w:val="4508775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8A51ACB"/>
    <w:multiLevelType w:val="multilevel"/>
    <w:tmpl w:val="48A51AC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F8C6F74"/>
    <w:multiLevelType w:val="multilevel"/>
    <w:tmpl w:val="4F8C6F74"/>
    <w:lvl w:ilvl="0" w:tentative="0">
      <w:start w:val="1"/>
      <w:numFmt w:val="bullet"/>
      <w:pStyle w:val="93"/>
      <w:lvlText w:val=""/>
      <w:lvlJc w:val="left"/>
      <w:pPr>
        <w:ind w:left="1680" w:hanging="420"/>
      </w:pPr>
      <w:rPr>
        <w:rFonts w:hint="default" w:ascii="Wingdings 2" w:hAnsi="Wingdings 2"/>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17">
    <w:nsid w:val="52652F88"/>
    <w:multiLevelType w:val="multilevel"/>
    <w:tmpl w:val="52652F88"/>
    <w:lvl w:ilvl="0" w:tentative="0">
      <w:start w:val="1"/>
      <w:numFmt w:val="decimalZero"/>
      <w:pStyle w:val="89"/>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18">
    <w:nsid w:val="5832308F"/>
    <w:multiLevelType w:val="multilevel"/>
    <w:tmpl w:val="5832308F"/>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19">
    <w:nsid w:val="5B03561F"/>
    <w:multiLevelType w:val="multilevel"/>
    <w:tmpl w:val="5B03561F"/>
    <w:lvl w:ilvl="0" w:tentative="0">
      <w:start w:val="1"/>
      <w:numFmt w:val="decimalZero"/>
      <w:pStyle w:val="55"/>
      <w:lvlText w:val="M%1. "/>
      <w:lvlJc w:val="left"/>
      <w:pPr>
        <w:ind w:left="360" w:hanging="360"/>
      </w:pPr>
      <w:rPr>
        <w:rFonts w:hint="eastAsia" w:ascii="思源黑体 CN Heavy" w:hAnsi="思源黑体 CN Heavy"/>
        <w:b/>
        <w:bCs w:val="0"/>
        <w:i w:val="0"/>
        <w:iCs w:val="0"/>
        <w:caps w:val="0"/>
        <w:smallCaps w:val="0"/>
        <w:strike w:val="0"/>
        <w:dstrike w:val="0"/>
        <w:outline w:val="0"/>
        <w:shadow w:val="0"/>
        <w:emboss w:val="0"/>
        <w:imprint w:val="0"/>
        <w:vanish w:val="0"/>
        <w:color w:val="000000"/>
        <w:spacing w:val="0"/>
        <w:position w:val="0"/>
        <w:sz w:val="24"/>
        <w:u w:val="none"/>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40E3978"/>
    <w:multiLevelType w:val="multilevel"/>
    <w:tmpl w:val="640E3978"/>
    <w:lvl w:ilvl="0" w:tentative="0">
      <w:start w:val="1"/>
      <w:numFmt w:val="decimalZero"/>
      <w:pStyle w:val="91"/>
      <w:lvlText w:val="R%1. "/>
      <w:lvlJc w:val="center"/>
      <w:pPr>
        <w:ind w:left="1271" w:hanging="250"/>
      </w:pPr>
      <w:rPr>
        <w:b/>
        <w:bCs w:val="0"/>
        <w:i w:val="0"/>
        <w:iCs w:val="0"/>
        <w:caps w:val="0"/>
        <w:smallCaps w:val="0"/>
        <w:strike w:val="0"/>
        <w:dstrike w:val="0"/>
        <w:outline w:val="0"/>
        <w:shadow w:val="0"/>
        <w:emboss w:val="0"/>
        <w:imprint w:val="0"/>
        <w:vanish w:val="0"/>
        <w:spacing w:val="0"/>
        <w:position w:val="0"/>
        <w:u w:val="none"/>
        <w:vertAlign w:val="baseline"/>
        <w:lang w:bidi="zh-CN"/>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21">
    <w:nsid w:val="6F990B5E"/>
    <w:multiLevelType w:val="multilevel"/>
    <w:tmpl w:val="6F990B5E"/>
    <w:lvl w:ilvl="0" w:tentative="0">
      <w:start w:val="1"/>
      <w:numFmt w:val="bullet"/>
      <w:pStyle w:val="31"/>
      <w:lvlText w:val=""/>
      <w:lvlJc w:val="left"/>
      <w:pPr>
        <w:ind w:left="1128"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2">
    <w:nsid w:val="75157B5A"/>
    <w:multiLevelType w:val="multilevel"/>
    <w:tmpl w:val="75157B5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7709791B"/>
    <w:multiLevelType w:val="multilevel"/>
    <w:tmpl w:val="7709791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9784FA9"/>
    <w:multiLevelType w:val="multilevel"/>
    <w:tmpl w:val="79784FA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A461555"/>
    <w:multiLevelType w:val="multilevel"/>
    <w:tmpl w:val="7A46155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B164970"/>
    <w:multiLevelType w:val="multilevel"/>
    <w:tmpl w:val="7B164970"/>
    <w:lvl w:ilvl="0" w:tentative="0">
      <w:start w:val="1"/>
      <w:numFmt w:val="decimalZero"/>
      <w:pStyle w:val="49"/>
      <w:lvlText w:val="T%1. "/>
      <w:lvlJc w:val="left"/>
      <w:pPr>
        <w:ind w:left="1211" w:hanging="360"/>
      </w:pPr>
      <w:rPr>
        <w:rFonts w:hint="eastAsia" w:ascii="思源黑体 CN Regular" w:hAnsi="思源黑体 CN Regular"/>
        <w:b/>
        <w:bCs w:val="0"/>
        <w:i w:val="0"/>
        <w:iCs w:val="0"/>
        <w:caps w:val="0"/>
        <w:smallCaps w:val="0"/>
        <w:strike w:val="0"/>
        <w:dstrike w:val="0"/>
        <w:outline w:val="0"/>
        <w:shadow w:val="0"/>
        <w:emboss w:val="0"/>
        <w:imprint w:val="0"/>
        <w:vanish w:val="0"/>
        <w:color w:val="auto"/>
        <w:spacing w:val="0"/>
        <w:position w:val="0"/>
        <w:sz w:val="24"/>
        <w:u w:val="none"/>
        <w:vertAlign w:val="baseline"/>
        <w:lang w:val="en-US"/>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27">
    <w:nsid w:val="7DA2056E"/>
    <w:multiLevelType w:val="multilevel"/>
    <w:tmpl w:val="7DA2056E"/>
    <w:lvl w:ilvl="0" w:tentative="0">
      <w:start w:val="1"/>
      <w:numFmt w:val="decimal"/>
      <w:lvlText w:val="%1"/>
      <w:lvlJc w:val="left"/>
      <w:pPr>
        <w:ind w:left="425" w:hanging="425"/>
      </w:pPr>
      <w:rPr>
        <w:rFonts w:hint="eastAsia"/>
      </w:r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7"/>
  </w:num>
  <w:num w:numId="2">
    <w:abstractNumId w:val="21"/>
  </w:num>
  <w:num w:numId="3">
    <w:abstractNumId w:val="3"/>
  </w:num>
  <w:num w:numId="4">
    <w:abstractNumId w:val="12"/>
  </w:num>
  <w:num w:numId="5">
    <w:abstractNumId w:val="6"/>
  </w:num>
  <w:num w:numId="6">
    <w:abstractNumId w:val="26"/>
  </w:num>
  <w:num w:numId="7">
    <w:abstractNumId w:val="19"/>
  </w:num>
  <w:num w:numId="8">
    <w:abstractNumId w:val="17"/>
  </w:num>
  <w:num w:numId="9">
    <w:abstractNumId w:val="20"/>
  </w:num>
  <w:num w:numId="10">
    <w:abstractNumId w:val="16"/>
  </w:num>
  <w:num w:numId="11">
    <w:abstractNumId w:val="11"/>
  </w:num>
  <w:num w:numId="12">
    <w:abstractNumId w:val="5"/>
  </w:num>
  <w:num w:numId="13">
    <w:abstractNumId w:val="15"/>
  </w:num>
  <w:num w:numId="14">
    <w:abstractNumId w:val="8"/>
  </w:num>
  <w:num w:numId="15">
    <w:abstractNumId w:val="4"/>
  </w:num>
  <w:num w:numId="16">
    <w:abstractNumId w:val="2"/>
  </w:num>
  <w:num w:numId="17">
    <w:abstractNumId w:val="13"/>
  </w:num>
  <w:num w:numId="18">
    <w:abstractNumId w:val="22"/>
  </w:num>
  <w:num w:numId="19">
    <w:abstractNumId w:val="1"/>
  </w:num>
  <w:num w:numId="20">
    <w:abstractNumId w:val="9"/>
  </w:num>
  <w:num w:numId="21">
    <w:abstractNumId w:val="18"/>
  </w:num>
  <w:num w:numId="22">
    <w:abstractNumId w:val="7"/>
  </w:num>
  <w:num w:numId="23">
    <w:abstractNumId w:val="25"/>
  </w:num>
  <w:num w:numId="24">
    <w:abstractNumId w:val="14"/>
  </w:num>
  <w:num w:numId="25">
    <w:abstractNumId w:val="24"/>
  </w:num>
  <w:num w:numId="26">
    <w:abstractNumId w:val="23"/>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68"/>
    <w:rsid w:val="00001B4C"/>
    <w:rsid w:val="00001E5C"/>
    <w:rsid w:val="00003018"/>
    <w:rsid w:val="0000309A"/>
    <w:rsid w:val="000033BF"/>
    <w:rsid w:val="0000358F"/>
    <w:rsid w:val="00003799"/>
    <w:rsid w:val="00003A65"/>
    <w:rsid w:val="0000498B"/>
    <w:rsid w:val="00004D65"/>
    <w:rsid w:val="00005405"/>
    <w:rsid w:val="0000585D"/>
    <w:rsid w:val="00005A3B"/>
    <w:rsid w:val="000060FD"/>
    <w:rsid w:val="00006186"/>
    <w:rsid w:val="000066DC"/>
    <w:rsid w:val="0000715F"/>
    <w:rsid w:val="00007168"/>
    <w:rsid w:val="00007174"/>
    <w:rsid w:val="000076F5"/>
    <w:rsid w:val="00007749"/>
    <w:rsid w:val="00007D66"/>
    <w:rsid w:val="00010ACF"/>
    <w:rsid w:val="00011BED"/>
    <w:rsid w:val="00012536"/>
    <w:rsid w:val="000128F5"/>
    <w:rsid w:val="000128FC"/>
    <w:rsid w:val="00012B2E"/>
    <w:rsid w:val="00013090"/>
    <w:rsid w:val="0001423A"/>
    <w:rsid w:val="00014884"/>
    <w:rsid w:val="00014C92"/>
    <w:rsid w:val="00014D31"/>
    <w:rsid w:val="00015660"/>
    <w:rsid w:val="00017E95"/>
    <w:rsid w:val="000216BA"/>
    <w:rsid w:val="00021A12"/>
    <w:rsid w:val="00021C77"/>
    <w:rsid w:val="00021EB2"/>
    <w:rsid w:val="000220AC"/>
    <w:rsid w:val="000228A0"/>
    <w:rsid w:val="00022B96"/>
    <w:rsid w:val="00023D36"/>
    <w:rsid w:val="000248A9"/>
    <w:rsid w:val="00025190"/>
    <w:rsid w:val="00026D3C"/>
    <w:rsid w:val="00026D82"/>
    <w:rsid w:val="00031366"/>
    <w:rsid w:val="00031D92"/>
    <w:rsid w:val="00032BEA"/>
    <w:rsid w:val="00032F22"/>
    <w:rsid w:val="00033085"/>
    <w:rsid w:val="00035E5E"/>
    <w:rsid w:val="00040D00"/>
    <w:rsid w:val="00041AEE"/>
    <w:rsid w:val="00041B98"/>
    <w:rsid w:val="00041E59"/>
    <w:rsid w:val="00042F8E"/>
    <w:rsid w:val="0004309F"/>
    <w:rsid w:val="00044221"/>
    <w:rsid w:val="000456A3"/>
    <w:rsid w:val="00046DFE"/>
    <w:rsid w:val="00047058"/>
    <w:rsid w:val="000476C3"/>
    <w:rsid w:val="00047A46"/>
    <w:rsid w:val="00047BC3"/>
    <w:rsid w:val="00050E4E"/>
    <w:rsid w:val="0005110D"/>
    <w:rsid w:val="00052259"/>
    <w:rsid w:val="000522BE"/>
    <w:rsid w:val="00053198"/>
    <w:rsid w:val="000535AC"/>
    <w:rsid w:val="0005409D"/>
    <w:rsid w:val="00055048"/>
    <w:rsid w:val="000552B0"/>
    <w:rsid w:val="000562BA"/>
    <w:rsid w:val="00056339"/>
    <w:rsid w:val="0005672A"/>
    <w:rsid w:val="00056BE6"/>
    <w:rsid w:val="0005773E"/>
    <w:rsid w:val="00060994"/>
    <w:rsid w:val="00060D0A"/>
    <w:rsid w:val="00061869"/>
    <w:rsid w:val="000621DD"/>
    <w:rsid w:val="000622FA"/>
    <w:rsid w:val="000625BF"/>
    <w:rsid w:val="00064430"/>
    <w:rsid w:val="000649B3"/>
    <w:rsid w:val="00064E2B"/>
    <w:rsid w:val="000656D4"/>
    <w:rsid w:val="00066BCE"/>
    <w:rsid w:val="00066C8F"/>
    <w:rsid w:val="00070991"/>
    <w:rsid w:val="000718C2"/>
    <w:rsid w:val="00073C22"/>
    <w:rsid w:val="00074803"/>
    <w:rsid w:val="00074812"/>
    <w:rsid w:val="00074BCB"/>
    <w:rsid w:val="00076640"/>
    <w:rsid w:val="00076828"/>
    <w:rsid w:val="00076C76"/>
    <w:rsid w:val="000775E4"/>
    <w:rsid w:val="00077EC9"/>
    <w:rsid w:val="00080A8B"/>
    <w:rsid w:val="000811F0"/>
    <w:rsid w:val="000818C4"/>
    <w:rsid w:val="00082861"/>
    <w:rsid w:val="00082C5F"/>
    <w:rsid w:val="00083A07"/>
    <w:rsid w:val="00083D44"/>
    <w:rsid w:val="00084A9D"/>
    <w:rsid w:val="00084F4B"/>
    <w:rsid w:val="00085264"/>
    <w:rsid w:val="00087160"/>
    <w:rsid w:val="00090EFB"/>
    <w:rsid w:val="00092725"/>
    <w:rsid w:val="000928FC"/>
    <w:rsid w:val="00092B1D"/>
    <w:rsid w:val="000951C2"/>
    <w:rsid w:val="0009528B"/>
    <w:rsid w:val="000952C9"/>
    <w:rsid w:val="0009629F"/>
    <w:rsid w:val="000968C2"/>
    <w:rsid w:val="00096DD2"/>
    <w:rsid w:val="00096EB1"/>
    <w:rsid w:val="0009747E"/>
    <w:rsid w:val="0009771D"/>
    <w:rsid w:val="000A05A8"/>
    <w:rsid w:val="000A0B45"/>
    <w:rsid w:val="000A1654"/>
    <w:rsid w:val="000A18CE"/>
    <w:rsid w:val="000A1FD3"/>
    <w:rsid w:val="000A268C"/>
    <w:rsid w:val="000A3B00"/>
    <w:rsid w:val="000A3C83"/>
    <w:rsid w:val="000A3DEC"/>
    <w:rsid w:val="000A5114"/>
    <w:rsid w:val="000A5801"/>
    <w:rsid w:val="000A58B0"/>
    <w:rsid w:val="000B0331"/>
    <w:rsid w:val="000B036F"/>
    <w:rsid w:val="000B07BE"/>
    <w:rsid w:val="000B1136"/>
    <w:rsid w:val="000B1539"/>
    <w:rsid w:val="000B1C2A"/>
    <w:rsid w:val="000B285C"/>
    <w:rsid w:val="000B2CA3"/>
    <w:rsid w:val="000B4AA6"/>
    <w:rsid w:val="000B54EE"/>
    <w:rsid w:val="000B6D02"/>
    <w:rsid w:val="000B7616"/>
    <w:rsid w:val="000C0594"/>
    <w:rsid w:val="000C06AA"/>
    <w:rsid w:val="000C099B"/>
    <w:rsid w:val="000C0BF1"/>
    <w:rsid w:val="000C134F"/>
    <w:rsid w:val="000C2472"/>
    <w:rsid w:val="000C3081"/>
    <w:rsid w:val="000C3B78"/>
    <w:rsid w:val="000C3FB6"/>
    <w:rsid w:val="000C44A1"/>
    <w:rsid w:val="000C4B1E"/>
    <w:rsid w:val="000C4D36"/>
    <w:rsid w:val="000C5086"/>
    <w:rsid w:val="000C5F2A"/>
    <w:rsid w:val="000C5FBB"/>
    <w:rsid w:val="000C6B91"/>
    <w:rsid w:val="000C7036"/>
    <w:rsid w:val="000C7591"/>
    <w:rsid w:val="000D06AF"/>
    <w:rsid w:val="000D08E7"/>
    <w:rsid w:val="000D0CD0"/>
    <w:rsid w:val="000D2161"/>
    <w:rsid w:val="000D30A7"/>
    <w:rsid w:val="000D31D0"/>
    <w:rsid w:val="000D3351"/>
    <w:rsid w:val="000D44C6"/>
    <w:rsid w:val="000D46D4"/>
    <w:rsid w:val="000D4A3A"/>
    <w:rsid w:val="000D6AD1"/>
    <w:rsid w:val="000D6AE0"/>
    <w:rsid w:val="000D72C0"/>
    <w:rsid w:val="000D7350"/>
    <w:rsid w:val="000D7E78"/>
    <w:rsid w:val="000E0F70"/>
    <w:rsid w:val="000E1B3C"/>
    <w:rsid w:val="000E1C54"/>
    <w:rsid w:val="000E2275"/>
    <w:rsid w:val="000E2D9A"/>
    <w:rsid w:val="000E4038"/>
    <w:rsid w:val="000E564A"/>
    <w:rsid w:val="000E5A08"/>
    <w:rsid w:val="000E6982"/>
    <w:rsid w:val="000E6D73"/>
    <w:rsid w:val="000E6E40"/>
    <w:rsid w:val="000E703B"/>
    <w:rsid w:val="000E7D43"/>
    <w:rsid w:val="000F2584"/>
    <w:rsid w:val="000F2987"/>
    <w:rsid w:val="000F2EDB"/>
    <w:rsid w:val="000F2FFD"/>
    <w:rsid w:val="000F3767"/>
    <w:rsid w:val="000F46D9"/>
    <w:rsid w:val="000F4A3B"/>
    <w:rsid w:val="000F4F12"/>
    <w:rsid w:val="000F5A6E"/>
    <w:rsid w:val="000F6478"/>
    <w:rsid w:val="000F6614"/>
    <w:rsid w:val="000F6B5C"/>
    <w:rsid w:val="00100699"/>
    <w:rsid w:val="001007D0"/>
    <w:rsid w:val="00102A42"/>
    <w:rsid w:val="00103874"/>
    <w:rsid w:val="001047A1"/>
    <w:rsid w:val="001050CA"/>
    <w:rsid w:val="00105A7E"/>
    <w:rsid w:val="0010617A"/>
    <w:rsid w:val="00106496"/>
    <w:rsid w:val="001064FA"/>
    <w:rsid w:val="00106899"/>
    <w:rsid w:val="00107968"/>
    <w:rsid w:val="00107A7D"/>
    <w:rsid w:val="00110A23"/>
    <w:rsid w:val="00110CAF"/>
    <w:rsid w:val="001115B2"/>
    <w:rsid w:val="0011169C"/>
    <w:rsid w:val="00112740"/>
    <w:rsid w:val="00112872"/>
    <w:rsid w:val="00112A2C"/>
    <w:rsid w:val="00112F82"/>
    <w:rsid w:val="0011397C"/>
    <w:rsid w:val="00113B68"/>
    <w:rsid w:val="001143AF"/>
    <w:rsid w:val="0011458C"/>
    <w:rsid w:val="00114590"/>
    <w:rsid w:val="0011522C"/>
    <w:rsid w:val="0011522D"/>
    <w:rsid w:val="001156B5"/>
    <w:rsid w:val="00115807"/>
    <w:rsid w:val="00115D33"/>
    <w:rsid w:val="001167A3"/>
    <w:rsid w:val="00117374"/>
    <w:rsid w:val="001218A5"/>
    <w:rsid w:val="00122076"/>
    <w:rsid w:val="00124D45"/>
    <w:rsid w:val="001250F6"/>
    <w:rsid w:val="00126293"/>
    <w:rsid w:val="00127145"/>
    <w:rsid w:val="00127A74"/>
    <w:rsid w:val="00127C46"/>
    <w:rsid w:val="0013051B"/>
    <w:rsid w:val="001317B4"/>
    <w:rsid w:val="00131AA9"/>
    <w:rsid w:val="00131F6D"/>
    <w:rsid w:val="00134912"/>
    <w:rsid w:val="001363F6"/>
    <w:rsid w:val="00136868"/>
    <w:rsid w:val="00136E62"/>
    <w:rsid w:val="0013734B"/>
    <w:rsid w:val="0014008D"/>
    <w:rsid w:val="001404B9"/>
    <w:rsid w:val="001409FD"/>
    <w:rsid w:val="00141153"/>
    <w:rsid w:val="00141F95"/>
    <w:rsid w:val="00143A35"/>
    <w:rsid w:val="00144702"/>
    <w:rsid w:val="0014496A"/>
    <w:rsid w:val="00144C80"/>
    <w:rsid w:val="00144F49"/>
    <w:rsid w:val="001451F2"/>
    <w:rsid w:val="00146004"/>
    <w:rsid w:val="00146310"/>
    <w:rsid w:val="0014632A"/>
    <w:rsid w:val="00146385"/>
    <w:rsid w:val="001464DE"/>
    <w:rsid w:val="0014670C"/>
    <w:rsid w:val="00146A76"/>
    <w:rsid w:val="00146D44"/>
    <w:rsid w:val="00146DA7"/>
    <w:rsid w:val="001473EC"/>
    <w:rsid w:val="001477AD"/>
    <w:rsid w:val="00147B0C"/>
    <w:rsid w:val="00147C05"/>
    <w:rsid w:val="00147F24"/>
    <w:rsid w:val="001507B5"/>
    <w:rsid w:val="00150E46"/>
    <w:rsid w:val="00151144"/>
    <w:rsid w:val="00151CDB"/>
    <w:rsid w:val="00151D32"/>
    <w:rsid w:val="001520F8"/>
    <w:rsid w:val="001528C4"/>
    <w:rsid w:val="001537F3"/>
    <w:rsid w:val="0015388B"/>
    <w:rsid w:val="00154393"/>
    <w:rsid w:val="00154F38"/>
    <w:rsid w:val="00155A3B"/>
    <w:rsid w:val="00155BFE"/>
    <w:rsid w:val="00156A09"/>
    <w:rsid w:val="00157677"/>
    <w:rsid w:val="0016172C"/>
    <w:rsid w:val="00161D3E"/>
    <w:rsid w:val="00161ED9"/>
    <w:rsid w:val="00162566"/>
    <w:rsid w:val="001634B9"/>
    <w:rsid w:val="0016353B"/>
    <w:rsid w:val="00165A5E"/>
    <w:rsid w:val="0016646E"/>
    <w:rsid w:val="001672A4"/>
    <w:rsid w:val="00171049"/>
    <w:rsid w:val="00171CFF"/>
    <w:rsid w:val="0017292B"/>
    <w:rsid w:val="00172F9D"/>
    <w:rsid w:val="0017340F"/>
    <w:rsid w:val="00173BA5"/>
    <w:rsid w:val="00174708"/>
    <w:rsid w:val="00174E7C"/>
    <w:rsid w:val="00175056"/>
    <w:rsid w:val="00175777"/>
    <w:rsid w:val="00175989"/>
    <w:rsid w:val="00175B0C"/>
    <w:rsid w:val="001765E4"/>
    <w:rsid w:val="00177D59"/>
    <w:rsid w:val="00180030"/>
    <w:rsid w:val="0018109D"/>
    <w:rsid w:val="00181527"/>
    <w:rsid w:val="00182474"/>
    <w:rsid w:val="00182954"/>
    <w:rsid w:val="00182DEB"/>
    <w:rsid w:val="00184391"/>
    <w:rsid w:val="00185185"/>
    <w:rsid w:val="001851CC"/>
    <w:rsid w:val="001859AB"/>
    <w:rsid w:val="00186B36"/>
    <w:rsid w:val="00190674"/>
    <w:rsid w:val="00190C1B"/>
    <w:rsid w:val="0019194A"/>
    <w:rsid w:val="00192A3C"/>
    <w:rsid w:val="00192BB5"/>
    <w:rsid w:val="00193658"/>
    <w:rsid w:val="001945F0"/>
    <w:rsid w:val="0019511A"/>
    <w:rsid w:val="001962A6"/>
    <w:rsid w:val="0019713B"/>
    <w:rsid w:val="00197CD7"/>
    <w:rsid w:val="001A0CBB"/>
    <w:rsid w:val="001A1097"/>
    <w:rsid w:val="001A1D99"/>
    <w:rsid w:val="001A22FC"/>
    <w:rsid w:val="001A4EC0"/>
    <w:rsid w:val="001A6188"/>
    <w:rsid w:val="001A7E79"/>
    <w:rsid w:val="001B0AC7"/>
    <w:rsid w:val="001B0E1C"/>
    <w:rsid w:val="001B0FF5"/>
    <w:rsid w:val="001B13EA"/>
    <w:rsid w:val="001B1AA7"/>
    <w:rsid w:val="001B1E98"/>
    <w:rsid w:val="001B2D5A"/>
    <w:rsid w:val="001B2DA8"/>
    <w:rsid w:val="001B2F0E"/>
    <w:rsid w:val="001B32B1"/>
    <w:rsid w:val="001B44C7"/>
    <w:rsid w:val="001B454D"/>
    <w:rsid w:val="001B4631"/>
    <w:rsid w:val="001B4733"/>
    <w:rsid w:val="001B691D"/>
    <w:rsid w:val="001B6C04"/>
    <w:rsid w:val="001B6DAE"/>
    <w:rsid w:val="001B7D72"/>
    <w:rsid w:val="001C1F26"/>
    <w:rsid w:val="001C2022"/>
    <w:rsid w:val="001C206A"/>
    <w:rsid w:val="001C2D8A"/>
    <w:rsid w:val="001C2E96"/>
    <w:rsid w:val="001C426B"/>
    <w:rsid w:val="001C4297"/>
    <w:rsid w:val="001C5238"/>
    <w:rsid w:val="001C537D"/>
    <w:rsid w:val="001C55A5"/>
    <w:rsid w:val="001C5FBD"/>
    <w:rsid w:val="001C60E2"/>
    <w:rsid w:val="001C7969"/>
    <w:rsid w:val="001D0499"/>
    <w:rsid w:val="001D0E89"/>
    <w:rsid w:val="001D1A4C"/>
    <w:rsid w:val="001D1EE4"/>
    <w:rsid w:val="001D29C1"/>
    <w:rsid w:val="001D2FC8"/>
    <w:rsid w:val="001D3E55"/>
    <w:rsid w:val="001D417E"/>
    <w:rsid w:val="001D47F0"/>
    <w:rsid w:val="001D5527"/>
    <w:rsid w:val="001D5802"/>
    <w:rsid w:val="001D736D"/>
    <w:rsid w:val="001D7AB0"/>
    <w:rsid w:val="001E0AE9"/>
    <w:rsid w:val="001E0C16"/>
    <w:rsid w:val="001E164C"/>
    <w:rsid w:val="001E17A3"/>
    <w:rsid w:val="001E1DA7"/>
    <w:rsid w:val="001E1DDB"/>
    <w:rsid w:val="001E2157"/>
    <w:rsid w:val="001E243B"/>
    <w:rsid w:val="001E25B3"/>
    <w:rsid w:val="001E3D96"/>
    <w:rsid w:val="001E3FE9"/>
    <w:rsid w:val="001E4953"/>
    <w:rsid w:val="001E512C"/>
    <w:rsid w:val="001E5626"/>
    <w:rsid w:val="001E5779"/>
    <w:rsid w:val="001E5A34"/>
    <w:rsid w:val="001E5BC8"/>
    <w:rsid w:val="001E6017"/>
    <w:rsid w:val="001E65E7"/>
    <w:rsid w:val="001E777F"/>
    <w:rsid w:val="001F1D7B"/>
    <w:rsid w:val="001F1FC0"/>
    <w:rsid w:val="001F315B"/>
    <w:rsid w:val="001F48CC"/>
    <w:rsid w:val="001F4D89"/>
    <w:rsid w:val="001F58AD"/>
    <w:rsid w:val="001F6B58"/>
    <w:rsid w:val="001F6D2B"/>
    <w:rsid w:val="001F7060"/>
    <w:rsid w:val="001F72D1"/>
    <w:rsid w:val="001F7626"/>
    <w:rsid w:val="001F7DD6"/>
    <w:rsid w:val="00200B81"/>
    <w:rsid w:val="00200EA5"/>
    <w:rsid w:val="002010C4"/>
    <w:rsid w:val="00201947"/>
    <w:rsid w:val="0020287E"/>
    <w:rsid w:val="002034B6"/>
    <w:rsid w:val="00204712"/>
    <w:rsid w:val="0020477A"/>
    <w:rsid w:val="00205512"/>
    <w:rsid w:val="00206EFD"/>
    <w:rsid w:val="00207678"/>
    <w:rsid w:val="00207A7B"/>
    <w:rsid w:val="00207C29"/>
    <w:rsid w:val="00207C88"/>
    <w:rsid w:val="00207F55"/>
    <w:rsid w:val="00207F91"/>
    <w:rsid w:val="00207FDB"/>
    <w:rsid w:val="00212829"/>
    <w:rsid w:val="00212993"/>
    <w:rsid w:val="00212F0D"/>
    <w:rsid w:val="002134E2"/>
    <w:rsid w:val="00213ACB"/>
    <w:rsid w:val="00213C4C"/>
    <w:rsid w:val="00214ABB"/>
    <w:rsid w:val="00215059"/>
    <w:rsid w:val="002154C7"/>
    <w:rsid w:val="00215C96"/>
    <w:rsid w:val="00216E29"/>
    <w:rsid w:val="00220491"/>
    <w:rsid w:val="00220AA9"/>
    <w:rsid w:val="00220DAA"/>
    <w:rsid w:val="0022122A"/>
    <w:rsid w:val="00222371"/>
    <w:rsid w:val="002226EC"/>
    <w:rsid w:val="00223217"/>
    <w:rsid w:val="00223434"/>
    <w:rsid w:val="002238A1"/>
    <w:rsid w:val="00223EA8"/>
    <w:rsid w:val="00224BAC"/>
    <w:rsid w:val="002265D8"/>
    <w:rsid w:val="00226664"/>
    <w:rsid w:val="00227218"/>
    <w:rsid w:val="00230B2F"/>
    <w:rsid w:val="00230BE2"/>
    <w:rsid w:val="0023463D"/>
    <w:rsid w:val="00234F1F"/>
    <w:rsid w:val="00235D93"/>
    <w:rsid w:val="002362BA"/>
    <w:rsid w:val="002370D2"/>
    <w:rsid w:val="00237167"/>
    <w:rsid w:val="00240D55"/>
    <w:rsid w:val="00241C1B"/>
    <w:rsid w:val="002425FC"/>
    <w:rsid w:val="00242E25"/>
    <w:rsid w:val="0024301D"/>
    <w:rsid w:val="00243CBC"/>
    <w:rsid w:val="00243CD2"/>
    <w:rsid w:val="00243F45"/>
    <w:rsid w:val="00244716"/>
    <w:rsid w:val="00245877"/>
    <w:rsid w:val="002459EC"/>
    <w:rsid w:val="002461E7"/>
    <w:rsid w:val="002465CF"/>
    <w:rsid w:val="00246D84"/>
    <w:rsid w:val="002472BE"/>
    <w:rsid w:val="002476AB"/>
    <w:rsid w:val="00247DE4"/>
    <w:rsid w:val="002502B1"/>
    <w:rsid w:val="00250838"/>
    <w:rsid w:val="0025099A"/>
    <w:rsid w:val="00250F7F"/>
    <w:rsid w:val="00254186"/>
    <w:rsid w:val="002544AF"/>
    <w:rsid w:val="002549E6"/>
    <w:rsid w:val="00255C58"/>
    <w:rsid w:val="0025727E"/>
    <w:rsid w:val="002572E0"/>
    <w:rsid w:val="0025737E"/>
    <w:rsid w:val="00257832"/>
    <w:rsid w:val="00257CBA"/>
    <w:rsid w:val="00257DD1"/>
    <w:rsid w:val="00260FF0"/>
    <w:rsid w:val="00261C77"/>
    <w:rsid w:val="00261D1E"/>
    <w:rsid w:val="00262489"/>
    <w:rsid w:val="00262856"/>
    <w:rsid w:val="00263518"/>
    <w:rsid w:val="0026415C"/>
    <w:rsid w:val="0026467E"/>
    <w:rsid w:val="00264794"/>
    <w:rsid w:val="00264CBD"/>
    <w:rsid w:val="002713C8"/>
    <w:rsid w:val="0027253E"/>
    <w:rsid w:val="002725E9"/>
    <w:rsid w:val="00272DBE"/>
    <w:rsid w:val="00272E3C"/>
    <w:rsid w:val="00273993"/>
    <w:rsid w:val="00273C59"/>
    <w:rsid w:val="00274566"/>
    <w:rsid w:val="002751C1"/>
    <w:rsid w:val="00275E21"/>
    <w:rsid w:val="002807C1"/>
    <w:rsid w:val="002808B8"/>
    <w:rsid w:val="00280E68"/>
    <w:rsid w:val="0028212E"/>
    <w:rsid w:val="00282AC1"/>
    <w:rsid w:val="002845C6"/>
    <w:rsid w:val="00284BBE"/>
    <w:rsid w:val="00285E8E"/>
    <w:rsid w:val="00286A19"/>
    <w:rsid w:val="00286DAE"/>
    <w:rsid w:val="00290315"/>
    <w:rsid w:val="00290EC3"/>
    <w:rsid w:val="002916C5"/>
    <w:rsid w:val="00292399"/>
    <w:rsid w:val="00292768"/>
    <w:rsid w:val="00292D93"/>
    <w:rsid w:val="00292E5E"/>
    <w:rsid w:val="00293920"/>
    <w:rsid w:val="0029433A"/>
    <w:rsid w:val="00295A25"/>
    <w:rsid w:val="00295AA2"/>
    <w:rsid w:val="00295AF8"/>
    <w:rsid w:val="0029697E"/>
    <w:rsid w:val="00297B89"/>
    <w:rsid w:val="002A00AC"/>
    <w:rsid w:val="002A00FF"/>
    <w:rsid w:val="002A0408"/>
    <w:rsid w:val="002A1EB1"/>
    <w:rsid w:val="002A2167"/>
    <w:rsid w:val="002A282D"/>
    <w:rsid w:val="002A3A90"/>
    <w:rsid w:val="002A4047"/>
    <w:rsid w:val="002A4863"/>
    <w:rsid w:val="002A492F"/>
    <w:rsid w:val="002A4972"/>
    <w:rsid w:val="002B0A08"/>
    <w:rsid w:val="002B21EF"/>
    <w:rsid w:val="002B2C0D"/>
    <w:rsid w:val="002B3F29"/>
    <w:rsid w:val="002B3F8F"/>
    <w:rsid w:val="002B4B1A"/>
    <w:rsid w:val="002B511B"/>
    <w:rsid w:val="002B511F"/>
    <w:rsid w:val="002B5510"/>
    <w:rsid w:val="002B6CB5"/>
    <w:rsid w:val="002B7102"/>
    <w:rsid w:val="002C0597"/>
    <w:rsid w:val="002C0BC2"/>
    <w:rsid w:val="002C0E8A"/>
    <w:rsid w:val="002C18FD"/>
    <w:rsid w:val="002C1D0D"/>
    <w:rsid w:val="002C3D53"/>
    <w:rsid w:val="002C3EA3"/>
    <w:rsid w:val="002C44E3"/>
    <w:rsid w:val="002C5596"/>
    <w:rsid w:val="002C56AF"/>
    <w:rsid w:val="002C57E9"/>
    <w:rsid w:val="002C6B72"/>
    <w:rsid w:val="002C7B08"/>
    <w:rsid w:val="002C7BFC"/>
    <w:rsid w:val="002D10C6"/>
    <w:rsid w:val="002D1382"/>
    <w:rsid w:val="002D1951"/>
    <w:rsid w:val="002D245A"/>
    <w:rsid w:val="002D2EA8"/>
    <w:rsid w:val="002D2FA5"/>
    <w:rsid w:val="002D3AB7"/>
    <w:rsid w:val="002D4094"/>
    <w:rsid w:val="002D56E0"/>
    <w:rsid w:val="002D5933"/>
    <w:rsid w:val="002D59D6"/>
    <w:rsid w:val="002D651D"/>
    <w:rsid w:val="002D6C92"/>
    <w:rsid w:val="002D6F46"/>
    <w:rsid w:val="002D730E"/>
    <w:rsid w:val="002E0C51"/>
    <w:rsid w:val="002E228F"/>
    <w:rsid w:val="002E28D1"/>
    <w:rsid w:val="002E2E04"/>
    <w:rsid w:val="002E2FB8"/>
    <w:rsid w:val="002E3E0E"/>
    <w:rsid w:val="002E3F5C"/>
    <w:rsid w:val="002E4CB8"/>
    <w:rsid w:val="002E568C"/>
    <w:rsid w:val="002F1269"/>
    <w:rsid w:val="002F1E82"/>
    <w:rsid w:val="002F434F"/>
    <w:rsid w:val="002F43B9"/>
    <w:rsid w:val="002F43E0"/>
    <w:rsid w:val="002F58DC"/>
    <w:rsid w:val="002F6E9D"/>
    <w:rsid w:val="002F6EDE"/>
    <w:rsid w:val="002F79AE"/>
    <w:rsid w:val="0030058B"/>
    <w:rsid w:val="00301485"/>
    <w:rsid w:val="0030244D"/>
    <w:rsid w:val="00302AA4"/>
    <w:rsid w:val="00302EF4"/>
    <w:rsid w:val="00303547"/>
    <w:rsid w:val="00303980"/>
    <w:rsid w:val="00303E68"/>
    <w:rsid w:val="00304285"/>
    <w:rsid w:val="00304A8A"/>
    <w:rsid w:val="00305623"/>
    <w:rsid w:val="00306DD1"/>
    <w:rsid w:val="003104E1"/>
    <w:rsid w:val="00310AE8"/>
    <w:rsid w:val="00310C4E"/>
    <w:rsid w:val="00310FE8"/>
    <w:rsid w:val="00311B63"/>
    <w:rsid w:val="003125D7"/>
    <w:rsid w:val="0031361C"/>
    <w:rsid w:val="00314FEB"/>
    <w:rsid w:val="003151FE"/>
    <w:rsid w:val="003156DA"/>
    <w:rsid w:val="003202D4"/>
    <w:rsid w:val="0032071D"/>
    <w:rsid w:val="00320EF8"/>
    <w:rsid w:val="0032156A"/>
    <w:rsid w:val="003222FE"/>
    <w:rsid w:val="00322A77"/>
    <w:rsid w:val="00322FA5"/>
    <w:rsid w:val="003238AC"/>
    <w:rsid w:val="00324191"/>
    <w:rsid w:val="00324A1B"/>
    <w:rsid w:val="003257D3"/>
    <w:rsid w:val="00326656"/>
    <w:rsid w:val="0032675B"/>
    <w:rsid w:val="00327575"/>
    <w:rsid w:val="003277F7"/>
    <w:rsid w:val="00330696"/>
    <w:rsid w:val="003312D5"/>
    <w:rsid w:val="0033235F"/>
    <w:rsid w:val="0033280C"/>
    <w:rsid w:val="00332BC1"/>
    <w:rsid w:val="0033348C"/>
    <w:rsid w:val="003336E2"/>
    <w:rsid w:val="00334536"/>
    <w:rsid w:val="0033794B"/>
    <w:rsid w:val="00340E14"/>
    <w:rsid w:val="00341528"/>
    <w:rsid w:val="00341666"/>
    <w:rsid w:val="0034168D"/>
    <w:rsid w:val="00341E3B"/>
    <w:rsid w:val="0034287C"/>
    <w:rsid w:val="00342D08"/>
    <w:rsid w:val="003434C2"/>
    <w:rsid w:val="003434D3"/>
    <w:rsid w:val="00344535"/>
    <w:rsid w:val="00345157"/>
    <w:rsid w:val="00346565"/>
    <w:rsid w:val="00346B30"/>
    <w:rsid w:val="003474AF"/>
    <w:rsid w:val="00347762"/>
    <w:rsid w:val="00347BB4"/>
    <w:rsid w:val="00350091"/>
    <w:rsid w:val="003508F0"/>
    <w:rsid w:val="00351A4E"/>
    <w:rsid w:val="00351AA4"/>
    <w:rsid w:val="00352799"/>
    <w:rsid w:val="0035309D"/>
    <w:rsid w:val="003534F0"/>
    <w:rsid w:val="00354163"/>
    <w:rsid w:val="00354734"/>
    <w:rsid w:val="00354A92"/>
    <w:rsid w:val="00356121"/>
    <w:rsid w:val="003561C6"/>
    <w:rsid w:val="0035621C"/>
    <w:rsid w:val="0035629F"/>
    <w:rsid w:val="0035647C"/>
    <w:rsid w:val="00356547"/>
    <w:rsid w:val="00360884"/>
    <w:rsid w:val="00363D90"/>
    <w:rsid w:val="00364106"/>
    <w:rsid w:val="003649A7"/>
    <w:rsid w:val="003649AF"/>
    <w:rsid w:val="00364F1F"/>
    <w:rsid w:val="00365135"/>
    <w:rsid w:val="00365D2F"/>
    <w:rsid w:val="00366AD1"/>
    <w:rsid w:val="003672A4"/>
    <w:rsid w:val="00370B5C"/>
    <w:rsid w:val="003713E1"/>
    <w:rsid w:val="003725B7"/>
    <w:rsid w:val="00372B67"/>
    <w:rsid w:val="00372F59"/>
    <w:rsid w:val="003750F6"/>
    <w:rsid w:val="00375287"/>
    <w:rsid w:val="003755DC"/>
    <w:rsid w:val="003756FA"/>
    <w:rsid w:val="00375974"/>
    <w:rsid w:val="003759E6"/>
    <w:rsid w:val="00376C80"/>
    <w:rsid w:val="003775BC"/>
    <w:rsid w:val="00377A85"/>
    <w:rsid w:val="003803BE"/>
    <w:rsid w:val="00380C49"/>
    <w:rsid w:val="0038160C"/>
    <w:rsid w:val="00381D2D"/>
    <w:rsid w:val="0038202B"/>
    <w:rsid w:val="00382432"/>
    <w:rsid w:val="003824EB"/>
    <w:rsid w:val="0038351B"/>
    <w:rsid w:val="003835D4"/>
    <w:rsid w:val="00383A04"/>
    <w:rsid w:val="003845BA"/>
    <w:rsid w:val="0038467F"/>
    <w:rsid w:val="0038498E"/>
    <w:rsid w:val="00384B6B"/>
    <w:rsid w:val="003855E0"/>
    <w:rsid w:val="0038588A"/>
    <w:rsid w:val="00385B5B"/>
    <w:rsid w:val="00385EF9"/>
    <w:rsid w:val="00386626"/>
    <w:rsid w:val="0038717F"/>
    <w:rsid w:val="003879A3"/>
    <w:rsid w:val="00390613"/>
    <w:rsid w:val="00390750"/>
    <w:rsid w:val="00390757"/>
    <w:rsid w:val="003908EE"/>
    <w:rsid w:val="00390E49"/>
    <w:rsid w:val="003916E4"/>
    <w:rsid w:val="00391F56"/>
    <w:rsid w:val="003921FF"/>
    <w:rsid w:val="0039243E"/>
    <w:rsid w:val="003930BE"/>
    <w:rsid w:val="00393DA9"/>
    <w:rsid w:val="00393F2F"/>
    <w:rsid w:val="0039479C"/>
    <w:rsid w:val="003951AB"/>
    <w:rsid w:val="0039570F"/>
    <w:rsid w:val="00396A24"/>
    <w:rsid w:val="00396C80"/>
    <w:rsid w:val="0039703D"/>
    <w:rsid w:val="0039712C"/>
    <w:rsid w:val="00397154"/>
    <w:rsid w:val="00397331"/>
    <w:rsid w:val="003A03AC"/>
    <w:rsid w:val="003A0889"/>
    <w:rsid w:val="003A0AC7"/>
    <w:rsid w:val="003A0B34"/>
    <w:rsid w:val="003A0D67"/>
    <w:rsid w:val="003A1911"/>
    <w:rsid w:val="003A1D72"/>
    <w:rsid w:val="003A3252"/>
    <w:rsid w:val="003A33E8"/>
    <w:rsid w:val="003A35CD"/>
    <w:rsid w:val="003A3769"/>
    <w:rsid w:val="003A581D"/>
    <w:rsid w:val="003A5F0A"/>
    <w:rsid w:val="003A64E7"/>
    <w:rsid w:val="003A7677"/>
    <w:rsid w:val="003A7F0C"/>
    <w:rsid w:val="003B0943"/>
    <w:rsid w:val="003B149E"/>
    <w:rsid w:val="003B23A6"/>
    <w:rsid w:val="003B5A66"/>
    <w:rsid w:val="003B6497"/>
    <w:rsid w:val="003B757B"/>
    <w:rsid w:val="003C0184"/>
    <w:rsid w:val="003C0B19"/>
    <w:rsid w:val="003C174C"/>
    <w:rsid w:val="003C1CE7"/>
    <w:rsid w:val="003C28E6"/>
    <w:rsid w:val="003C2CE8"/>
    <w:rsid w:val="003C3489"/>
    <w:rsid w:val="003C44CC"/>
    <w:rsid w:val="003C4753"/>
    <w:rsid w:val="003C4BD2"/>
    <w:rsid w:val="003C4DAC"/>
    <w:rsid w:val="003C565C"/>
    <w:rsid w:val="003C61BB"/>
    <w:rsid w:val="003C65DB"/>
    <w:rsid w:val="003C71FD"/>
    <w:rsid w:val="003C7A51"/>
    <w:rsid w:val="003C7CEE"/>
    <w:rsid w:val="003C7E2B"/>
    <w:rsid w:val="003C7F6C"/>
    <w:rsid w:val="003D043D"/>
    <w:rsid w:val="003D1948"/>
    <w:rsid w:val="003D2706"/>
    <w:rsid w:val="003D3472"/>
    <w:rsid w:val="003D3790"/>
    <w:rsid w:val="003D5073"/>
    <w:rsid w:val="003D5589"/>
    <w:rsid w:val="003D58A1"/>
    <w:rsid w:val="003D6D46"/>
    <w:rsid w:val="003D6FD7"/>
    <w:rsid w:val="003D72EF"/>
    <w:rsid w:val="003E06E3"/>
    <w:rsid w:val="003E10E7"/>
    <w:rsid w:val="003E1B4D"/>
    <w:rsid w:val="003E310B"/>
    <w:rsid w:val="003E33AB"/>
    <w:rsid w:val="003E4462"/>
    <w:rsid w:val="003E6762"/>
    <w:rsid w:val="003E7472"/>
    <w:rsid w:val="003E77C1"/>
    <w:rsid w:val="003F0361"/>
    <w:rsid w:val="003F0B0D"/>
    <w:rsid w:val="003F109D"/>
    <w:rsid w:val="003F1E1E"/>
    <w:rsid w:val="003F1FA4"/>
    <w:rsid w:val="003F2125"/>
    <w:rsid w:val="003F2141"/>
    <w:rsid w:val="003F41FE"/>
    <w:rsid w:val="003F43D8"/>
    <w:rsid w:val="003F5033"/>
    <w:rsid w:val="003F5835"/>
    <w:rsid w:val="003F5EAE"/>
    <w:rsid w:val="003F6BBF"/>
    <w:rsid w:val="00402BAD"/>
    <w:rsid w:val="00403319"/>
    <w:rsid w:val="004038A2"/>
    <w:rsid w:val="00404FC3"/>
    <w:rsid w:val="00405866"/>
    <w:rsid w:val="00405B78"/>
    <w:rsid w:val="00406140"/>
    <w:rsid w:val="004063E4"/>
    <w:rsid w:val="004063FF"/>
    <w:rsid w:val="00407B3A"/>
    <w:rsid w:val="00411087"/>
    <w:rsid w:val="0041157E"/>
    <w:rsid w:val="00411C96"/>
    <w:rsid w:val="00411CB1"/>
    <w:rsid w:val="00412368"/>
    <w:rsid w:val="004127EE"/>
    <w:rsid w:val="004132AD"/>
    <w:rsid w:val="00413552"/>
    <w:rsid w:val="00414403"/>
    <w:rsid w:val="004155F2"/>
    <w:rsid w:val="004159E1"/>
    <w:rsid w:val="0041620E"/>
    <w:rsid w:val="004170C7"/>
    <w:rsid w:val="004175BE"/>
    <w:rsid w:val="00417C9A"/>
    <w:rsid w:val="00420EE7"/>
    <w:rsid w:val="0042128B"/>
    <w:rsid w:val="00421D24"/>
    <w:rsid w:val="00421DB0"/>
    <w:rsid w:val="00422070"/>
    <w:rsid w:val="00422807"/>
    <w:rsid w:val="00422AD4"/>
    <w:rsid w:val="00423699"/>
    <w:rsid w:val="00423E37"/>
    <w:rsid w:val="00424229"/>
    <w:rsid w:val="0042477C"/>
    <w:rsid w:val="0042547D"/>
    <w:rsid w:val="00425626"/>
    <w:rsid w:val="00426740"/>
    <w:rsid w:val="004270A1"/>
    <w:rsid w:val="00427226"/>
    <w:rsid w:val="00427315"/>
    <w:rsid w:val="00430298"/>
    <w:rsid w:val="00431371"/>
    <w:rsid w:val="00431B87"/>
    <w:rsid w:val="00431D4C"/>
    <w:rsid w:val="0043267E"/>
    <w:rsid w:val="00432BAD"/>
    <w:rsid w:val="004342FE"/>
    <w:rsid w:val="0043461C"/>
    <w:rsid w:val="00434CE1"/>
    <w:rsid w:val="00435A67"/>
    <w:rsid w:val="00435AF4"/>
    <w:rsid w:val="00436A4F"/>
    <w:rsid w:val="00437665"/>
    <w:rsid w:val="0043775D"/>
    <w:rsid w:val="004379E7"/>
    <w:rsid w:val="00437B90"/>
    <w:rsid w:val="00437EAB"/>
    <w:rsid w:val="00441A70"/>
    <w:rsid w:val="004431F8"/>
    <w:rsid w:val="004432C9"/>
    <w:rsid w:val="00445365"/>
    <w:rsid w:val="004459DF"/>
    <w:rsid w:val="00446649"/>
    <w:rsid w:val="004467B5"/>
    <w:rsid w:val="00446B21"/>
    <w:rsid w:val="00446CA4"/>
    <w:rsid w:val="00446E63"/>
    <w:rsid w:val="00447151"/>
    <w:rsid w:val="00447F9E"/>
    <w:rsid w:val="00450AEF"/>
    <w:rsid w:val="00450D5C"/>
    <w:rsid w:val="004517D3"/>
    <w:rsid w:val="00451C86"/>
    <w:rsid w:val="00451DEC"/>
    <w:rsid w:val="00451F8F"/>
    <w:rsid w:val="00452572"/>
    <w:rsid w:val="004528C2"/>
    <w:rsid w:val="00453035"/>
    <w:rsid w:val="0045376F"/>
    <w:rsid w:val="00454686"/>
    <w:rsid w:val="00454A89"/>
    <w:rsid w:val="004554C4"/>
    <w:rsid w:val="004560C4"/>
    <w:rsid w:val="00456D40"/>
    <w:rsid w:val="004613F9"/>
    <w:rsid w:val="00461931"/>
    <w:rsid w:val="004622DD"/>
    <w:rsid w:val="0046262A"/>
    <w:rsid w:val="00462770"/>
    <w:rsid w:val="004632BD"/>
    <w:rsid w:val="00463DF7"/>
    <w:rsid w:val="004640A5"/>
    <w:rsid w:val="00464116"/>
    <w:rsid w:val="00464EE9"/>
    <w:rsid w:val="004658A9"/>
    <w:rsid w:val="0046617F"/>
    <w:rsid w:val="0046638F"/>
    <w:rsid w:val="00467C7A"/>
    <w:rsid w:val="00467DD1"/>
    <w:rsid w:val="00470297"/>
    <w:rsid w:val="00470B1D"/>
    <w:rsid w:val="0047129D"/>
    <w:rsid w:val="00471A1E"/>
    <w:rsid w:val="004721B8"/>
    <w:rsid w:val="00472D2F"/>
    <w:rsid w:val="00473CB4"/>
    <w:rsid w:val="004747B5"/>
    <w:rsid w:val="004750E1"/>
    <w:rsid w:val="00475240"/>
    <w:rsid w:val="00476357"/>
    <w:rsid w:val="00476E0C"/>
    <w:rsid w:val="00477162"/>
    <w:rsid w:val="004779F9"/>
    <w:rsid w:val="0048027F"/>
    <w:rsid w:val="0048168D"/>
    <w:rsid w:val="00482124"/>
    <w:rsid w:val="004821B3"/>
    <w:rsid w:val="00483183"/>
    <w:rsid w:val="0048322A"/>
    <w:rsid w:val="00484690"/>
    <w:rsid w:val="0048603C"/>
    <w:rsid w:val="00486829"/>
    <w:rsid w:val="0048695F"/>
    <w:rsid w:val="00487A47"/>
    <w:rsid w:val="00490BA2"/>
    <w:rsid w:val="00490F15"/>
    <w:rsid w:val="00491217"/>
    <w:rsid w:val="00491295"/>
    <w:rsid w:val="004931A2"/>
    <w:rsid w:val="004946C8"/>
    <w:rsid w:val="0049488A"/>
    <w:rsid w:val="00496EA3"/>
    <w:rsid w:val="004971EE"/>
    <w:rsid w:val="0049749C"/>
    <w:rsid w:val="00497CC6"/>
    <w:rsid w:val="00497CFD"/>
    <w:rsid w:val="004A0DE6"/>
    <w:rsid w:val="004A1608"/>
    <w:rsid w:val="004A1CB3"/>
    <w:rsid w:val="004A1DAE"/>
    <w:rsid w:val="004A295B"/>
    <w:rsid w:val="004A3966"/>
    <w:rsid w:val="004A3AF5"/>
    <w:rsid w:val="004A4132"/>
    <w:rsid w:val="004A42CB"/>
    <w:rsid w:val="004A50BF"/>
    <w:rsid w:val="004A587E"/>
    <w:rsid w:val="004A58DD"/>
    <w:rsid w:val="004A5AE9"/>
    <w:rsid w:val="004A7DD8"/>
    <w:rsid w:val="004B1A0A"/>
    <w:rsid w:val="004B34D4"/>
    <w:rsid w:val="004B3D47"/>
    <w:rsid w:val="004B5AB3"/>
    <w:rsid w:val="004B5BB2"/>
    <w:rsid w:val="004B5D42"/>
    <w:rsid w:val="004B5FE4"/>
    <w:rsid w:val="004B7CEA"/>
    <w:rsid w:val="004C13DD"/>
    <w:rsid w:val="004C1BB9"/>
    <w:rsid w:val="004C2043"/>
    <w:rsid w:val="004C2F46"/>
    <w:rsid w:val="004C326F"/>
    <w:rsid w:val="004C32A9"/>
    <w:rsid w:val="004C50EC"/>
    <w:rsid w:val="004C5426"/>
    <w:rsid w:val="004C5A5E"/>
    <w:rsid w:val="004C6F53"/>
    <w:rsid w:val="004D0012"/>
    <w:rsid w:val="004D1271"/>
    <w:rsid w:val="004D1365"/>
    <w:rsid w:val="004D1BFF"/>
    <w:rsid w:val="004D2164"/>
    <w:rsid w:val="004D21E6"/>
    <w:rsid w:val="004D2B64"/>
    <w:rsid w:val="004D2CD2"/>
    <w:rsid w:val="004D343F"/>
    <w:rsid w:val="004D3B2C"/>
    <w:rsid w:val="004D3C4F"/>
    <w:rsid w:val="004D3D6F"/>
    <w:rsid w:val="004D4227"/>
    <w:rsid w:val="004D505B"/>
    <w:rsid w:val="004D5AB4"/>
    <w:rsid w:val="004D68E8"/>
    <w:rsid w:val="004D693F"/>
    <w:rsid w:val="004D7413"/>
    <w:rsid w:val="004D7711"/>
    <w:rsid w:val="004E0D5C"/>
    <w:rsid w:val="004E0E1F"/>
    <w:rsid w:val="004E1070"/>
    <w:rsid w:val="004E240A"/>
    <w:rsid w:val="004E2795"/>
    <w:rsid w:val="004E2C54"/>
    <w:rsid w:val="004E3542"/>
    <w:rsid w:val="004E4EF5"/>
    <w:rsid w:val="004E62B0"/>
    <w:rsid w:val="004E78C4"/>
    <w:rsid w:val="004E7A05"/>
    <w:rsid w:val="004F02A0"/>
    <w:rsid w:val="004F0AA8"/>
    <w:rsid w:val="004F0D20"/>
    <w:rsid w:val="004F1158"/>
    <w:rsid w:val="004F1541"/>
    <w:rsid w:val="004F4368"/>
    <w:rsid w:val="004F47FE"/>
    <w:rsid w:val="004F4811"/>
    <w:rsid w:val="004F4F12"/>
    <w:rsid w:val="004F5489"/>
    <w:rsid w:val="004F6517"/>
    <w:rsid w:val="004F65A0"/>
    <w:rsid w:val="004F674A"/>
    <w:rsid w:val="004F6C2F"/>
    <w:rsid w:val="004F7960"/>
    <w:rsid w:val="005005EA"/>
    <w:rsid w:val="005006EB"/>
    <w:rsid w:val="00500A40"/>
    <w:rsid w:val="00501625"/>
    <w:rsid w:val="0050174B"/>
    <w:rsid w:val="00501870"/>
    <w:rsid w:val="00501B3B"/>
    <w:rsid w:val="00502282"/>
    <w:rsid w:val="00502A60"/>
    <w:rsid w:val="00503617"/>
    <w:rsid w:val="005040B4"/>
    <w:rsid w:val="00505914"/>
    <w:rsid w:val="00505D2A"/>
    <w:rsid w:val="00505DDF"/>
    <w:rsid w:val="00506628"/>
    <w:rsid w:val="00506B01"/>
    <w:rsid w:val="0050708E"/>
    <w:rsid w:val="00507383"/>
    <w:rsid w:val="00507F53"/>
    <w:rsid w:val="00510101"/>
    <w:rsid w:val="00510864"/>
    <w:rsid w:val="00510A5B"/>
    <w:rsid w:val="00510E72"/>
    <w:rsid w:val="005113E8"/>
    <w:rsid w:val="0051222D"/>
    <w:rsid w:val="005143F5"/>
    <w:rsid w:val="00514813"/>
    <w:rsid w:val="00514A56"/>
    <w:rsid w:val="00514E31"/>
    <w:rsid w:val="00514FF0"/>
    <w:rsid w:val="005150E4"/>
    <w:rsid w:val="00515332"/>
    <w:rsid w:val="00515D89"/>
    <w:rsid w:val="00515FB2"/>
    <w:rsid w:val="00517C6C"/>
    <w:rsid w:val="005200B8"/>
    <w:rsid w:val="005210DD"/>
    <w:rsid w:val="00521AF2"/>
    <w:rsid w:val="00521C72"/>
    <w:rsid w:val="005226D3"/>
    <w:rsid w:val="00522946"/>
    <w:rsid w:val="00522D86"/>
    <w:rsid w:val="00522E09"/>
    <w:rsid w:val="005232D2"/>
    <w:rsid w:val="00523A1F"/>
    <w:rsid w:val="00524B77"/>
    <w:rsid w:val="00525022"/>
    <w:rsid w:val="00525325"/>
    <w:rsid w:val="00526418"/>
    <w:rsid w:val="0052650C"/>
    <w:rsid w:val="00526739"/>
    <w:rsid w:val="00527568"/>
    <w:rsid w:val="005277C2"/>
    <w:rsid w:val="005301AA"/>
    <w:rsid w:val="00530BF7"/>
    <w:rsid w:val="00532313"/>
    <w:rsid w:val="0053236D"/>
    <w:rsid w:val="005323AC"/>
    <w:rsid w:val="00532C7D"/>
    <w:rsid w:val="00533C8D"/>
    <w:rsid w:val="00534B64"/>
    <w:rsid w:val="00534E3C"/>
    <w:rsid w:val="00534F34"/>
    <w:rsid w:val="0053519E"/>
    <w:rsid w:val="00536882"/>
    <w:rsid w:val="00536D42"/>
    <w:rsid w:val="00536E93"/>
    <w:rsid w:val="005372B3"/>
    <w:rsid w:val="00537A08"/>
    <w:rsid w:val="00537D56"/>
    <w:rsid w:val="00540291"/>
    <w:rsid w:val="00540E4D"/>
    <w:rsid w:val="005418A0"/>
    <w:rsid w:val="00541BFA"/>
    <w:rsid w:val="00542944"/>
    <w:rsid w:val="00542EE6"/>
    <w:rsid w:val="005432D7"/>
    <w:rsid w:val="00543406"/>
    <w:rsid w:val="00543830"/>
    <w:rsid w:val="00543DEF"/>
    <w:rsid w:val="00543EE6"/>
    <w:rsid w:val="00544548"/>
    <w:rsid w:val="005466A9"/>
    <w:rsid w:val="00550893"/>
    <w:rsid w:val="00550F69"/>
    <w:rsid w:val="00551392"/>
    <w:rsid w:val="005514DA"/>
    <w:rsid w:val="00551A25"/>
    <w:rsid w:val="00552A03"/>
    <w:rsid w:val="0055357B"/>
    <w:rsid w:val="00553B1A"/>
    <w:rsid w:val="00554297"/>
    <w:rsid w:val="005548C1"/>
    <w:rsid w:val="00555546"/>
    <w:rsid w:val="00556472"/>
    <w:rsid w:val="005573F4"/>
    <w:rsid w:val="005576EE"/>
    <w:rsid w:val="0055778B"/>
    <w:rsid w:val="005579DC"/>
    <w:rsid w:val="00560491"/>
    <w:rsid w:val="0056054A"/>
    <w:rsid w:val="005613E0"/>
    <w:rsid w:val="0056160B"/>
    <w:rsid w:val="005620A4"/>
    <w:rsid w:val="00562DD3"/>
    <w:rsid w:val="005640EA"/>
    <w:rsid w:val="00564172"/>
    <w:rsid w:val="00564F73"/>
    <w:rsid w:val="0056508F"/>
    <w:rsid w:val="00565402"/>
    <w:rsid w:val="0056581C"/>
    <w:rsid w:val="005660F6"/>
    <w:rsid w:val="00566314"/>
    <w:rsid w:val="005714A8"/>
    <w:rsid w:val="005716C1"/>
    <w:rsid w:val="00571FA0"/>
    <w:rsid w:val="00574DF7"/>
    <w:rsid w:val="00575CAD"/>
    <w:rsid w:val="0057629D"/>
    <w:rsid w:val="00577F81"/>
    <w:rsid w:val="00580DBC"/>
    <w:rsid w:val="00581AA7"/>
    <w:rsid w:val="00583327"/>
    <w:rsid w:val="00584240"/>
    <w:rsid w:val="00584A51"/>
    <w:rsid w:val="00584A9F"/>
    <w:rsid w:val="00585824"/>
    <w:rsid w:val="005862F7"/>
    <w:rsid w:val="00586304"/>
    <w:rsid w:val="005864A7"/>
    <w:rsid w:val="00586B8D"/>
    <w:rsid w:val="00587C36"/>
    <w:rsid w:val="005904C6"/>
    <w:rsid w:val="00590755"/>
    <w:rsid w:val="00590B0D"/>
    <w:rsid w:val="00591FC5"/>
    <w:rsid w:val="0059279E"/>
    <w:rsid w:val="00593957"/>
    <w:rsid w:val="00594F8B"/>
    <w:rsid w:val="00597F06"/>
    <w:rsid w:val="005A0BB2"/>
    <w:rsid w:val="005A2631"/>
    <w:rsid w:val="005A27D3"/>
    <w:rsid w:val="005A2987"/>
    <w:rsid w:val="005A2C85"/>
    <w:rsid w:val="005A2F26"/>
    <w:rsid w:val="005A50F4"/>
    <w:rsid w:val="005A57F7"/>
    <w:rsid w:val="005A6A82"/>
    <w:rsid w:val="005A7156"/>
    <w:rsid w:val="005A7E2A"/>
    <w:rsid w:val="005B08C4"/>
    <w:rsid w:val="005B2FE4"/>
    <w:rsid w:val="005B33B9"/>
    <w:rsid w:val="005B3F9F"/>
    <w:rsid w:val="005B41A5"/>
    <w:rsid w:val="005B5E6E"/>
    <w:rsid w:val="005B5F1A"/>
    <w:rsid w:val="005B684C"/>
    <w:rsid w:val="005B6B31"/>
    <w:rsid w:val="005B732E"/>
    <w:rsid w:val="005C0381"/>
    <w:rsid w:val="005C055D"/>
    <w:rsid w:val="005C0570"/>
    <w:rsid w:val="005C0E30"/>
    <w:rsid w:val="005C0EC2"/>
    <w:rsid w:val="005C1D08"/>
    <w:rsid w:val="005C4F28"/>
    <w:rsid w:val="005C64C9"/>
    <w:rsid w:val="005C6560"/>
    <w:rsid w:val="005C67AC"/>
    <w:rsid w:val="005C6BD8"/>
    <w:rsid w:val="005D0F72"/>
    <w:rsid w:val="005D103E"/>
    <w:rsid w:val="005D1BB0"/>
    <w:rsid w:val="005D3056"/>
    <w:rsid w:val="005D313D"/>
    <w:rsid w:val="005D4466"/>
    <w:rsid w:val="005D4C8A"/>
    <w:rsid w:val="005D5683"/>
    <w:rsid w:val="005D5859"/>
    <w:rsid w:val="005D601F"/>
    <w:rsid w:val="005D650E"/>
    <w:rsid w:val="005D7416"/>
    <w:rsid w:val="005D764A"/>
    <w:rsid w:val="005D79A7"/>
    <w:rsid w:val="005E01B0"/>
    <w:rsid w:val="005E02EB"/>
    <w:rsid w:val="005E02EF"/>
    <w:rsid w:val="005E064C"/>
    <w:rsid w:val="005E14C8"/>
    <w:rsid w:val="005E1686"/>
    <w:rsid w:val="005E21EC"/>
    <w:rsid w:val="005E26C2"/>
    <w:rsid w:val="005E317F"/>
    <w:rsid w:val="005E3971"/>
    <w:rsid w:val="005E3EA6"/>
    <w:rsid w:val="005E4B1B"/>
    <w:rsid w:val="005E4B4C"/>
    <w:rsid w:val="005E4D82"/>
    <w:rsid w:val="005E5059"/>
    <w:rsid w:val="005E58F3"/>
    <w:rsid w:val="005E592E"/>
    <w:rsid w:val="005E624E"/>
    <w:rsid w:val="005E6484"/>
    <w:rsid w:val="005E7D08"/>
    <w:rsid w:val="005F0A5D"/>
    <w:rsid w:val="005F3459"/>
    <w:rsid w:val="005F36E7"/>
    <w:rsid w:val="005F38B9"/>
    <w:rsid w:val="005F47CA"/>
    <w:rsid w:val="00600003"/>
    <w:rsid w:val="0060049E"/>
    <w:rsid w:val="006009ED"/>
    <w:rsid w:val="00601268"/>
    <w:rsid w:val="00601529"/>
    <w:rsid w:val="006018B2"/>
    <w:rsid w:val="00601902"/>
    <w:rsid w:val="0060228A"/>
    <w:rsid w:val="0060266A"/>
    <w:rsid w:val="00603597"/>
    <w:rsid w:val="006039E1"/>
    <w:rsid w:val="00603AAC"/>
    <w:rsid w:val="00603C67"/>
    <w:rsid w:val="00604146"/>
    <w:rsid w:val="0060438E"/>
    <w:rsid w:val="0060573F"/>
    <w:rsid w:val="00605904"/>
    <w:rsid w:val="0060627F"/>
    <w:rsid w:val="00606933"/>
    <w:rsid w:val="00607644"/>
    <w:rsid w:val="006079B3"/>
    <w:rsid w:val="00607E30"/>
    <w:rsid w:val="00610732"/>
    <w:rsid w:val="00610F18"/>
    <w:rsid w:val="006110A2"/>
    <w:rsid w:val="00611477"/>
    <w:rsid w:val="006117F6"/>
    <w:rsid w:val="00611C86"/>
    <w:rsid w:val="00611F5A"/>
    <w:rsid w:val="00612495"/>
    <w:rsid w:val="0061293B"/>
    <w:rsid w:val="00613331"/>
    <w:rsid w:val="006158E5"/>
    <w:rsid w:val="00615BF7"/>
    <w:rsid w:val="00617592"/>
    <w:rsid w:val="00617CB2"/>
    <w:rsid w:val="006217BC"/>
    <w:rsid w:val="00621AE5"/>
    <w:rsid w:val="0062276E"/>
    <w:rsid w:val="00623551"/>
    <w:rsid w:val="0062618A"/>
    <w:rsid w:val="00627177"/>
    <w:rsid w:val="00632402"/>
    <w:rsid w:val="0063269D"/>
    <w:rsid w:val="00633F56"/>
    <w:rsid w:val="00634DCA"/>
    <w:rsid w:val="00635615"/>
    <w:rsid w:val="00635F8E"/>
    <w:rsid w:val="006410D5"/>
    <w:rsid w:val="00641262"/>
    <w:rsid w:val="006417D4"/>
    <w:rsid w:val="00641CC1"/>
    <w:rsid w:val="006425E8"/>
    <w:rsid w:val="0064309D"/>
    <w:rsid w:val="00643419"/>
    <w:rsid w:val="00643A89"/>
    <w:rsid w:val="00644253"/>
    <w:rsid w:val="00644402"/>
    <w:rsid w:val="00645C76"/>
    <w:rsid w:val="0064639F"/>
    <w:rsid w:val="00646DA1"/>
    <w:rsid w:val="00650EA4"/>
    <w:rsid w:val="00650F16"/>
    <w:rsid w:val="00651A42"/>
    <w:rsid w:val="00652B3C"/>
    <w:rsid w:val="00653581"/>
    <w:rsid w:val="006536B0"/>
    <w:rsid w:val="00654CBC"/>
    <w:rsid w:val="006554BB"/>
    <w:rsid w:val="00655EE7"/>
    <w:rsid w:val="006567CD"/>
    <w:rsid w:val="00657063"/>
    <w:rsid w:val="0066089E"/>
    <w:rsid w:val="00660B8E"/>
    <w:rsid w:val="00660C11"/>
    <w:rsid w:val="00660C4C"/>
    <w:rsid w:val="00661FA4"/>
    <w:rsid w:val="00662BB4"/>
    <w:rsid w:val="00662D71"/>
    <w:rsid w:val="00663BB1"/>
    <w:rsid w:val="00663BD7"/>
    <w:rsid w:val="006642C1"/>
    <w:rsid w:val="0066486A"/>
    <w:rsid w:val="00664D9D"/>
    <w:rsid w:val="00665BFC"/>
    <w:rsid w:val="00666568"/>
    <w:rsid w:val="00666612"/>
    <w:rsid w:val="0066775B"/>
    <w:rsid w:val="00670048"/>
    <w:rsid w:val="006700AA"/>
    <w:rsid w:val="006703CC"/>
    <w:rsid w:val="00670613"/>
    <w:rsid w:val="00670F7B"/>
    <w:rsid w:val="006746E7"/>
    <w:rsid w:val="00676915"/>
    <w:rsid w:val="0067693E"/>
    <w:rsid w:val="00677335"/>
    <w:rsid w:val="00677BAF"/>
    <w:rsid w:val="006802B4"/>
    <w:rsid w:val="00680325"/>
    <w:rsid w:val="006803D9"/>
    <w:rsid w:val="00681CC9"/>
    <w:rsid w:val="00681FB9"/>
    <w:rsid w:val="0068214C"/>
    <w:rsid w:val="006822DF"/>
    <w:rsid w:val="00682B1D"/>
    <w:rsid w:val="00682B26"/>
    <w:rsid w:val="00684625"/>
    <w:rsid w:val="00685387"/>
    <w:rsid w:val="00686718"/>
    <w:rsid w:val="006878AC"/>
    <w:rsid w:val="00687ECF"/>
    <w:rsid w:val="006908A7"/>
    <w:rsid w:val="006910E5"/>
    <w:rsid w:val="00691D4B"/>
    <w:rsid w:val="00692431"/>
    <w:rsid w:val="00692680"/>
    <w:rsid w:val="006929A6"/>
    <w:rsid w:val="00692DAA"/>
    <w:rsid w:val="00693DD6"/>
    <w:rsid w:val="0069408F"/>
    <w:rsid w:val="006940C5"/>
    <w:rsid w:val="00694A99"/>
    <w:rsid w:val="00695191"/>
    <w:rsid w:val="0069561F"/>
    <w:rsid w:val="0069573B"/>
    <w:rsid w:val="00696513"/>
    <w:rsid w:val="0069699F"/>
    <w:rsid w:val="00696C5E"/>
    <w:rsid w:val="006970BF"/>
    <w:rsid w:val="006A1625"/>
    <w:rsid w:val="006A1F0B"/>
    <w:rsid w:val="006A2C8A"/>
    <w:rsid w:val="006A3333"/>
    <w:rsid w:val="006A3490"/>
    <w:rsid w:val="006A3D5F"/>
    <w:rsid w:val="006A4109"/>
    <w:rsid w:val="006A4945"/>
    <w:rsid w:val="006A49C2"/>
    <w:rsid w:val="006A5452"/>
    <w:rsid w:val="006A5C13"/>
    <w:rsid w:val="006A5C60"/>
    <w:rsid w:val="006A5D71"/>
    <w:rsid w:val="006A636E"/>
    <w:rsid w:val="006A6EB8"/>
    <w:rsid w:val="006A7D67"/>
    <w:rsid w:val="006A7E73"/>
    <w:rsid w:val="006B0994"/>
    <w:rsid w:val="006B0C57"/>
    <w:rsid w:val="006B0D2E"/>
    <w:rsid w:val="006B40F3"/>
    <w:rsid w:val="006B4774"/>
    <w:rsid w:val="006B493B"/>
    <w:rsid w:val="006B5CEC"/>
    <w:rsid w:val="006B73A7"/>
    <w:rsid w:val="006B7580"/>
    <w:rsid w:val="006C047E"/>
    <w:rsid w:val="006C056A"/>
    <w:rsid w:val="006C0836"/>
    <w:rsid w:val="006C4779"/>
    <w:rsid w:val="006C4A9E"/>
    <w:rsid w:val="006C67AF"/>
    <w:rsid w:val="006C7365"/>
    <w:rsid w:val="006C75A6"/>
    <w:rsid w:val="006C79BD"/>
    <w:rsid w:val="006C7C70"/>
    <w:rsid w:val="006D0228"/>
    <w:rsid w:val="006D12C6"/>
    <w:rsid w:val="006D1553"/>
    <w:rsid w:val="006D1C6E"/>
    <w:rsid w:val="006D1D30"/>
    <w:rsid w:val="006D2BC2"/>
    <w:rsid w:val="006D389E"/>
    <w:rsid w:val="006D5746"/>
    <w:rsid w:val="006D6647"/>
    <w:rsid w:val="006D6F16"/>
    <w:rsid w:val="006E00BF"/>
    <w:rsid w:val="006E05AD"/>
    <w:rsid w:val="006E07B4"/>
    <w:rsid w:val="006E225C"/>
    <w:rsid w:val="006E241D"/>
    <w:rsid w:val="006E3489"/>
    <w:rsid w:val="006E34B4"/>
    <w:rsid w:val="006E3BAF"/>
    <w:rsid w:val="006E4DC6"/>
    <w:rsid w:val="006E6C04"/>
    <w:rsid w:val="006E755C"/>
    <w:rsid w:val="006E7608"/>
    <w:rsid w:val="006F0850"/>
    <w:rsid w:val="006F08F4"/>
    <w:rsid w:val="006F1573"/>
    <w:rsid w:val="006F195A"/>
    <w:rsid w:val="006F1BB1"/>
    <w:rsid w:val="006F1D81"/>
    <w:rsid w:val="006F3769"/>
    <w:rsid w:val="006F3AB4"/>
    <w:rsid w:val="006F3B85"/>
    <w:rsid w:val="006F40E2"/>
    <w:rsid w:val="006F430D"/>
    <w:rsid w:val="006F464A"/>
    <w:rsid w:val="006F46EE"/>
    <w:rsid w:val="006F5071"/>
    <w:rsid w:val="006F543C"/>
    <w:rsid w:val="006F5778"/>
    <w:rsid w:val="006F5F1E"/>
    <w:rsid w:val="006F5FAF"/>
    <w:rsid w:val="006F5FE3"/>
    <w:rsid w:val="006F63E8"/>
    <w:rsid w:val="006F77FF"/>
    <w:rsid w:val="006F7BAF"/>
    <w:rsid w:val="00700321"/>
    <w:rsid w:val="0070231B"/>
    <w:rsid w:val="0070231E"/>
    <w:rsid w:val="00702980"/>
    <w:rsid w:val="007037C7"/>
    <w:rsid w:val="00704480"/>
    <w:rsid w:val="0070609E"/>
    <w:rsid w:val="00707CB9"/>
    <w:rsid w:val="00707E16"/>
    <w:rsid w:val="00711163"/>
    <w:rsid w:val="00711241"/>
    <w:rsid w:val="00711CE0"/>
    <w:rsid w:val="0071220A"/>
    <w:rsid w:val="00713CC4"/>
    <w:rsid w:val="00713EA7"/>
    <w:rsid w:val="0071504D"/>
    <w:rsid w:val="00716030"/>
    <w:rsid w:val="007166AE"/>
    <w:rsid w:val="00717EAD"/>
    <w:rsid w:val="0072033C"/>
    <w:rsid w:val="00720E51"/>
    <w:rsid w:val="007219D4"/>
    <w:rsid w:val="00722E86"/>
    <w:rsid w:val="0072340F"/>
    <w:rsid w:val="007238E7"/>
    <w:rsid w:val="00723D1A"/>
    <w:rsid w:val="007241BA"/>
    <w:rsid w:val="00724526"/>
    <w:rsid w:val="00724576"/>
    <w:rsid w:val="007251F8"/>
    <w:rsid w:val="00726A5C"/>
    <w:rsid w:val="00727538"/>
    <w:rsid w:val="007303CA"/>
    <w:rsid w:val="0073150D"/>
    <w:rsid w:val="007335FF"/>
    <w:rsid w:val="0073467F"/>
    <w:rsid w:val="00735561"/>
    <w:rsid w:val="00735647"/>
    <w:rsid w:val="00735B36"/>
    <w:rsid w:val="00737094"/>
    <w:rsid w:val="00737AF5"/>
    <w:rsid w:val="00737E80"/>
    <w:rsid w:val="00740E83"/>
    <w:rsid w:val="007415DB"/>
    <w:rsid w:val="00741CCE"/>
    <w:rsid w:val="00741D19"/>
    <w:rsid w:val="00743AC6"/>
    <w:rsid w:val="00744E01"/>
    <w:rsid w:val="00744F43"/>
    <w:rsid w:val="007453C9"/>
    <w:rsid w:val="007470C5"/>
    <w:rsid w:val="007470EE"/>
    <w:rsid w:val="00750503"/>
    <w:rsid w:val="007511F0"/>
    <w:rsid w:val="0075127A"/>
    <w:rsid w:val="00754459"/>
    <w:rsid w:val="0075476E"/>
    <w:rsid w:val="007549A5"/>
    <w:rsid w:val="0075507E"/>
    <w:rsid w:val="0075561C"/>
    <w:rsid w:val="007560BB"/>
    <w:rsid w:val="00756684"/>
    <w:rsid w:val="00756D90"/>
    <w:rsid w:val="0076125A"/>
    <w:rsid w:val="007618F2"/>
    <w:rsid w:val="0076374B"/>
    <w:rsid w:val="00763A27"/>
    <w:rsid w:val="00763BC3"/>
    <w:rsid w:val="00764F28"/>
    <w:rsid w:val="00765913"/>
    <w:rsid w:val="0077030B"/>
    <w:rsid w:val="0077069C"/>
    <w:rsid w:val="00771150"/>
    <w:rsid w:val="00771577"/>
    <w:rsid w:val="00771A48"/>
    <w:rsid w:val="00772073"/>
    <w:rsid w:val="00772422"/>
    <w:rsid w:val="00774233"/>
    <w:rsid w:val="00775274"/>
    <w:rsid w:val="00776D14"/>
    <w:rsid w:val="0077708D"/>
    <w:rsid w:val="007800F9"/>
    <w:rsid w:val="00780346"/>
    <w:rsid w:val="00783C23"/>
    <w:rsid w:val="00783FD1"/>
    <w:rsid w:val="00783FE4"/>
    <w:rsid w:val="0078467F"/>
    <w:rsid w:val="00784CBA"/>
    <w:rsid w:val="007855E8"/>
    <w:rsid w:val="00785AC2"/>
    <w:rsid w:val="00785D63"/>
    <w:rsid w:val="00786BDD"/>
    <w:rsid w:val="007873B2"/>
    <w:rsid w:val="0079007A"/>
    <w:rsid w:val="00790261"/>
    <w:rsid w:val="0079044E"/>
    <w:rsid w:val="00790788"/>
    <w:rsid w:val="007908F0"/>
    <w:rsid w:val="00790CDA"/>
    <w:rsid w:val="0079182F"/>
    <w:rsid w:val="0079184A"/>
    <w:rsid w:val="00791AA5"/>
    <w:rsid w:val="00791C88"/>
    <w:rsid w:val="007921F7"/>
    <w:rsid w:val="007928DC"/>
    <w:rsid w:val="00792BC8"/>
    <w:rsid w:val="00793CB7"/>
    <w:rsid w:val="00794EF1"/>
    <w:rsid w:val="0079562A"/>
    <w:rsid w:val="00795F6B"/>
    <w:rsid w:val="00796411"/>
    <w:rsid w:val="00796641"/>
    <w:rsid w:val="00797B98"/>
    <w:rsid w:val="007A0746"/>
    <w:rsid w:val="007A0B1C"/>
    <w:rsid w:val="007A0CC6"/>
    <w:rsid w:val="007A2D25"/>
    <w:rsid w:val="007A49B1"/>
    <w:rsid w:val="007A5515"/>
    <w:rsid w:val="007A6C61"/>
    <w:rsid w:val="007A6F67"/>
    <w:rsid w:val="007A6FB1"/>
    <w:rsid w:val="007B083D"/>
    <w:rsid w:val="007B1ACE"/>
    <w:rsid w:val="007B258B"/>
    <w:rsid w:val="007B3BC5"/>
    <w:rsid w:val="007B3DF9"/>
    <w:rsid w:val="007B43E4"/>
    <w:rsid w:val="007B49F1"/>
    <w:rsid w:val="007B4C00"/>
    <w:rsid w:val="007B4F8F"/>
    <w:rsid w:val="007B51C9"/>
    <w:rsid w:val="007B56AD"/>
    <w:rsid w:val="007B5941"/>
    <w:rsid w:val="007B6235"/>
    <w:rsid w:val="007B707D"/>
    <w:rsid w:val="007C03F2"/>
    <w:rsid w:val="007C12E7"/>
    <w:rsid w:val="007C1457"/>
    <w:rsid w:val="007C2E97"/>
    <w:rsid w:val="007C3186"/>
    <w:rsid w:val="007C4718"/>
    <w:rsid w:val="007C51DB"/>
    <w:rsid w:val="007C53E1"/>
    <w:rsid w:val="007C5881"/>
    <w:rsid w:val="007C61A8"/>
    <w:rsid w:val="007C6436"/>
    <w:rsid w:val="007C6BED"/>
    <w:rsid w:val="007D0A31"/>
    <w:rsid w:val="007D1355"/>
    <w:rsid w:val="007D165C"/>
    <w:rsid w:val="007D1F54"/>
    <w:rsid w:val="007D2276"/>
    <w:rsid w:val="007D2423"/>
    <w:rsid w:val="007D299F"/>
    <w:rsid w:val="007D3B42"/>
    <w:rsid w:val="007D478F"/>
    <w:rsid w:val="007D4800"/>
    <w:rsid w:val="007D5F7F"/>
    <w:rsid w:val="007D636F"/>
    <w:rsid w:val="007D660E"/>
    <w:rsid w:val="007D669E"/>
    <w:rsid w:val="007E0FA2"/>
    <w:rsid w:val="007E116F"/>
    <w:rsid w:val="007E179B"/>
    <w:rsid w:val="007E20C0"/>
    <w:rsid w:val="007E2D78"/>
    <w:rsid w:val="007E34BE"/>
    <w:rsid w:val="007E3E6D"/>
    <w:rsid w:val="007E3EF4"/>
    <w:rsid w:val="007E4BA1"/>
    <w:rsid w:val="007E4C9D"/>
    <w:rsid w:val="007E4CD4"/>
    <w:rsid w:val="007E5C1C"/>
    <w:rsid w:val="007E6484"/>
    <w:rsid w:val="007F1980"/>
    <w:rsid w:val="007F1CD0"/>
    <w:rsid w:val="007F2C80"/>
    <w:rsid w:val="007F2F42"/>
    <w:rsid w:val="007F36CF"/>
    <w:rsid w:val="007F3801"/>
    <w:rsid w:val="007F3EA5"/>
    <w:rsid w:val="007F3F6B"/>
    <w:rsid w:val="007F40A0"/>
    <w:rsid w:val="007F4B7E"/>
    <w:rsid w:val="007F500F"/>
    <w:rsid w:val="007F521C"/>
    <w:rsid w:val="007F5487"/>
    <w:rsid w:val="007F586B"/>
    <w:rsid w:val="007F5CF8"/>
    <w:rsid w:val="007F7579"/>
    <w:rsid w:val="007F78E4"/>
    <w:rsid w:val="008009B3"/>
    <w:rsid w:val="00801BD8"/>
    <w:rsid w:val="00802026"/>
    <w:rsid w:val="00802044"/>
    <w:rsid w:val="008025E6"/>
    <w:rsid w:val="00802BB4"/>
    <w:rsid w:val="00802EFA"/>
    <w:rsid w:val="00803A9B"/>
    <w:rsid w:val="0080412D"/>
    <w:rsid w:val="00804422"/>
    <w:rsid w:val="00804C6A"/>
    <w:rsid w:val="00804F5F"/>
    <w:rsid w:val="0080559B"/>
    <w:rsid w:val="0080578F"/>
    <w:rsid w:val="00805A41"/>
    <w:rsid w:val="00805F66"/>
    <w:rsid w:val="00806F35"/>
    <w:rsid w:val="00810718"/>
    <w:rsid w:val="00811831"/>
    <w:rsid w:val="0081187F"/>
    <w:rsid w:val="00811BAC"/>
    <w:rsid w:val="00811DDD"/>
    <w:rsid w:val="008122B4"/>
    <w:rsid w:val="00812D42"/>
    <w:rsid w:val="00813047"/>
    <w:rsid w:val="008141E8"/>
    <w:rsid w:val="00814F95"/>
    <w:rsid w:val="00817B67"/>
    <w:rsid w:val="00817D2E"/>
    <w:rsid w:val="00817FAF"/>
    <w:rsid w:val="008204D2"/>
    <w:rsid w:val="00820618"/>
    <w:rsid w:val="0082087D"/>
    <w:rsid w:val="008210AE"/>
    <w:rsid w:val="008218EA"/>
    <w:rsid w:val="00821D81"/>
    <w:rsid w:val="00822E80"/>
    <w:rsid w:val="00823344"/>
    <w:rsid w:val="00823356"/>
    <w:rsid w:val="0082354F"/>
    <w:rsid w:val="00823C65"/>
    <w:rsid w:val="00823C79"/>
    <w:rsid w:val="00825756"/>
    <w:rsid w:val="00826659"/>
    <w:rsid w:val="008269C9"/>
    <w:rsid w:val="00827AA6"/>
    <w:rsid w:val="008303C8"/>
    <w:rsid w:val="00830709"/>
    <w:rsid w:val="00830DA8"/>
    <w:rsid w:val="0083190C"/>
    <w:rsid w:val="008331A9"/>
    <w:rsid w:val="00833665"/>
    <w:rsid w:val="00834230"/>
    <w:rsid w:val="008355F5"/>
    <w:rsid w:val="00835C14"/>
    <w:rsid w:val="00835F84"/>
    <w:rsid w:val="0083721B"/>
    <w:rsid w:val="008373D3"/>
    <w:rsid w:val="008374CE"/>
    <w:rsid w:val="0083786F"/>
    <w:rsid w:val="0083799D"/>
    <w:rsid w:val="00837C7C"/>
    <w:rsid w:val="008403A5"/>
    <w:rsid w:val="008409B1"/>
    <w:rsid w:val="008420A1"/>
    <w:rsid w:val="0084284D"/>
    <w:rsid w:val="00843293"/>
    <w:rsid w:val="00843BC7"/>
    <w:rsid w:val="00844730"/>
    <w:rsid w:val="00844FEA"/>
    <w:rsid w:val="00845568"/>
    <w:rsid w:val="008455D2"/>
    <w:rsid w:val="0084584E"/>
    <w:rsid w:val="00845A1A"/>
    <w:rsid w:val="0084678E"/>
    <w:rsid w:val="00846B5E"/>
    <w:rsid w:val="00847798"/>
    <w:rsid w:val="00847FB1"/>
    <w:rsid w:val="0085057D"/>
    <w:rsid w:val="008509B6"/>
    <w:rsid w:val="00850CA4"/>
    <w:rsid w:val="008511F4"/>
    <w:rsid w:val="00852CA8"/>
    <w:rsid w:val="00853756"/>
    <w:rsid w:val="00853D79"/>
    <w:rsid w:val="00854CB6"/>
    <w:rsid w:val="00855519"/>
    <w:rsid w:val="0085577F"/>
    <w:rsid w:val="00855BCC"/>
    <w:rsid w:val="0085757A"/>
    <w:rsid w:val="00860BCD"/>
    <w:rsid w:val="00861F3B"/>
    <w:rsid w:val="00862123"/>
    <w:rsid w:val="00862BCC"/>
    <w:rsid w:val="00863A56"/>
    <w:rsid w:val="00863ABF"/>
    <w:rsid w:val="00864B0D"/>
    <w:rsid w:val="00864B85"/>
    <w:rsid w:val="00865499"/>
    <w:rsid w:val="008661E3"/>
    <w:rsid w:val="00866439"/>
    <w:rsid w:val="00866A44"/>
    <w:rsid w:val="008670B0"/>
    <w:rsid w:val="00867A7C"/>
    <w:rsid w:val="0087354E"/>
    <w:rsid w:val="008735D5"/>
    <w:rsid w:val="00873726"/>
    <w:rsid w:val="00874586"/>
    <w:rsid w:val="00874706"/>
    <w:rsid w:val="00874D4B"/>
    <w:rsid w:val="008752AC"/>
    <w:rsid w:val="008756BE"/>
    <w:rsid w:val="00875F4F"/>
    <w:rsid w:val="00876E56"/>
    <w:rsid w:val="008804A7"/>
    <w:rsid w:val="008819EA"/>
    <w:rsid w:val="00884693"/>
    <w:rsid w:val="00885FA5"/>
    <w:rsid w:val="008869B2"/>
    <w:rsid w:val="00886D05"/>
    <w:rsid w:val="008879E0"/>
    <w:rsid w:val="00890C34"/>
    <w:rsid w:val="008911AE"/>
    <w:rsid w:val="008912FB"/>
    <w:rsid w:val="008937E0"/>
    <w:rsid w:val="008944F4"/>
    <w:rsid w:val="0089491B"/>
    <w:rsid w:val="00895182"/>
    <w:rsid w:val="008957E0"/>
    <w:rsid w:val="00895A75"/>
    <w:rsid w:val="00897A88"/>
    <w:rsid w:val="00897E49"/>
    <w:rsid w:val="008A02DE"/>
    <w:rsid w:val="008A0407"/>
    <w:rsid w:val="008A09A0"/>
    <w:rsid w:val="008A1788"/>
    <w:rsid w:val="008A1D41"/>
    <w:rsid w:val="008A21FE"/>
    <w:rsid w:val="008A2E0C"/>
    <w:rsid w:val="008A2EF8"/>
    <w:rsid w:val="008A35F0"/>
    <w:rsid w:val="008A3D01"/>
    <w:rsid w:val="008A3D78"/>
    <w:rsid w:val="008A3F20"/>
    <w:rsid w:val="008A43D4"/>
    <w:rsid w:val="008A44A4"/>
    <w:rsid w:val="008A4895"/>
    <w:rsid w:val="008A4F5A"/>
    <w:rsid w:val="008A53A4"/>
    <w:rsid w:val="008A559C"/>
    <w:rsid w:val="008A59C5"/>
    <w:rsid w:val="008A6B2F"/>
    <w:rsid w:val="008A7B17"/>
    <w:rsid w:val="008B0093"/>
    <w:rsid w:val="008B0154"/>
    <w:rsid w:val="008B1011"/>
    <w:rsid w:val="008B194F"/>
    <w:rsid w:val="008B1F9A"/>
    <w:rsid w:val="008B2E1E"/>
    <w:rsid w:val="008B2F4E"/>
    <w:rsid w:val="008B3016"/>
    <w:rsid w:val="008B36BA"/>
    <w:rsid w:val="008B63F8"/>
    <w:rsid w:val="008B7A3D"/>
    <w:rsid w:val="008C358D"/>
    <w:rsid w:val="008C45D7"/>
    <w:rsid w:val="008C478C"/>
    <w:rsid w:val="008C571B"/>
    <w:rsid w:val="008C5990"/>
    <w:rsid w:val="008C644B"/>
    <w:rsid w:val="008C6705"/>
    <w:rsid w:val="008D0015"/>
    <w:rsid w:val="008D0BC2"/>
    <w:rsid w:val="008D161A"/>
    <w:rsid w:val="008D2923"/>
    <w:rsid w:val="008D3149"/>
    <w:rsid w:val="008D35FB"/>
    <w:rsid w:val="008D3DF5"/>
    <w:rsid w:val="008D4C09"/>
    <w:rsid w:val="008D5B54"/>
    <w:rsid w:val="008D634F"/>
    <w:rsid w:val="008D67EF"/>
    <w:rsid w:val="008D72EE"/>
    <w:rsid w:val="008D7362"/>
    <w:rsid w:val="008D7C30"/>
    <w:rsid w:val="008E036D"/>
    <w:rsid w:val="008E098C"/>
    <w:rsid w:val="008E0B86"/>
    <w:rsid w:val="008E1A12"/>
    <w:rsid w:val="008E1B8C"/>
    <w:rsid w:val="008E1B9D"/>
    <w:rsid w:val="008E23F1"/>
    <w:rsid w:val="008E25B7"/>
    <w:rsid w:val="008E3568"/>
    <w:rsid w:val="008E4923"/>
    <w:rsid w:val="008E49B4"/>
    <w:rsid w:val="008E524C"/>
    <w:rsid w:val="008E6FCA"/>
    <w:rsid w:val="008F0961"/>
    <w:rsid w:val="008F09C6"/>
    <w:rsid w:val="008F37C2"/>
    <w:rsid w:val="008F383D"/>
    <w:rsid w:val="008F6FA8"/>
    <w:rsid w:val="0090007A"/>
    <w:rsid w:val="00900FEE"/>
    <w:rsid w:val="00901020"/>
    <w:rsid w:val="00902B48"/>
    <w:rsid w:val="009049D9"/>
    <w:rsid w:val="009054AD"/>
    <w:rsid w:val="00905797"/>
    <w:rsid w:val="00906D3C"/>
    <w:rsid w:val="009071A2"/>
    <w:rsid w:val="009078E5"/>
    <w:rsid w:val="00907950"/>
    <w:rsid w:val="00907A3F"/>
    <w:rsid w:val="00907F4A"/>
    <w:rsid w:val="00910657"/>
    <w:rsid w:val="00911782"/>
    <w:rsid w:val="00911BA4"/>
    <w:rsid w:val="009124B0"/>
    <w:rsid w:val="009131D3"/>
    <w:rsid w:val="0091328E"/>
    <w:rsid w:val="00913832"/>
    <w:rsid w:val="0091383A"/>
    <w:rsid w:val="00913C86"/>
    <w:rsid w:val="0091436C"/>
    <w:rsid w:val="00914D75"/>
    <w:rsid w:val="0091565C"/>
    <w:rsid w:val="00915AFF"/>
    <w:rsid w:val="00916638"/>
    <w:rsid w:val="00917A45"/>
    <w:rsid w:val="00917F97"/>
    <w:rsid w:val="0092006D"/>
    <w:rsid w:val="009206D1"/>
    <w:rsid w:val="00920713"/>
    <w:rsid w:val="00921681"/>
    <w:rsid w:val="00921CDF"/>
    <w:rsid w:val="00923090"/>
    <w:rsid w:val="00923CCF"/>
    <w:rsid w:val="0092521D"/>
    <w:rsid w:val="0092531F"/>
    <w:rsid w:val="00925EE5"/>
    <w:rsid w:val="00926B34"/>
    <w:rsid w:val="00926EAB"/>
    <w:rsid w:val="00926F59"/>
    <w:rsid w:val="00927777"/>
    <w:rsid w:val="009278C1"/>
    <w:rsid w:val="00927C4B"/>
    <w:rsid w:val="00930021"/>
    <w:rsid w:val="009302EF"/>
    <w:rsid w:val="009308E2"/>
    <w:rsid w:val="009317BE"/>
    <w:rsid w:val="00932477"/>
    <w:rsid w:val="00933127"/>
    <w:rsid w:val="00933E2E"/>
    <w:rsid w:val="00935916"/>
    <w:rsid w:val="00935921"/>
    <w:rsid w:val="00936240"/>
    <w:rsid w:val="0093627D"/>
    <w:rsid w:val="00936BDF"/>
    <w:rsid w:val="00937DA6"/>
    <w:rsid w:val="009405C8"/>
    <w:rsid w:val="00941256"/>
    <w:rsid w:val="00942281"/>
    <w:rsid w:val="00942632"/>
    <w:rsid w:val="009434AE"/>
    <w:rsid w:val="00944D7C"/>
    <w:rsid w:val="00946329"/>
    <w:rsid w:val="009469A5"/>
    <w:rsid w:val="00946E2B"/>
    <w:rsid w:val="00946F8B"/>
    <w:rsid w:val="00947DB8"/>
    <w:rsid w:val="00950CEF"/>
    <w:rsid w:val="00950D78"/>
    <w:rsid w:val="009515A4"/>
    <w:rsid w:val="009527A4"/>
    <w:rsid w:val="0095317E"/>
    <w:rsid w:val="00954117"/>
    <w:rsid w:val="00954B8C"/>
    <w:rsid w:val="00954E35"/>
    <w:rsid w:val="00955356"/>
    <w:rsid w:val="00955559"/>
    <w:rsid w:val="009555A5"/>
    <w:rsid w:val="00955969"/>
    <w:rsid w:val="00955A99"/>
    <w:rsid w:val="00955B93"/>
    <w:rsid w:val="0095645B"/>
    <w:rsid w:val="0095736D"/>
    <w:rsid w:val="009578AD"/>
    <w:rsid w:val="00957A07"/>
    <w:rsid w:val="009604AD"/>
    <w:rsid w:val="00961F91"/>
    <w:rsid w:val="00962D64"/>
    <w:rsid w:val="0096360E"/>
    <w:rsid w:val="00963B35"/>
    <w:rsid w:val="00963E62"/>
    <w:rsid w:val="009657E8"/>
    <w:rsid w:val="00965D1A"/>
    <w:rsid w:val="00965DB2"/>
    <w:rsid w:val="00967A6C"/>
    <w:rsid w:val="00970D82"/>
    <w:rsid w:val="00971030"/>
    <w:rsid w:val="00971CF5"/>
    <w:rsid w:val="0097259F"/>
    <w:rsid w:val="00972BB4"/>
    <w:rsid w:val="009730C7"/>
    <w:rsid w:val="0097313E"/>
    <w:rsid w:val="00973D89"/>
    <w:rsid w:val="0097462A"/>
    <w:rsid w:val="009748F1"/>
    <w:rsid w:val="0097533D"/>
    <w:rsid w:val="00975624"/>
    <w:rsid w:val="009760E6"/>
    <w:rsid w:val="0097643B"/>
    <w:rsid w:val="009776A5"/>
    <w:rsid w:val="0097779D"/>
    <w:rsid w:val="00977BA8"/>
    <w:rsid w:val="00977F70"/>
    <w:rsid w:val="00981CA3"/>
    <w:rsid w:val="00981E6C"/>
    <w:rsid w:val="00982507"/>
    <w:rsid w:val="00982519"/>
    <w:rsid w:val="00983783"/>
    <w:rsid w:val="00984A4C"/>
    <w:rsid w:val="00985681"/>
    <w:rsid w:val="009856B6"/>
    <w:rsid w:val="009856F1"/>
    <w:rsid w:val="00985A3A"/>
    <w:rsid w:val="00985D61"/>
    <w:rsid w:val="00986A54"/>
    <w:rsid w:val="00986D2F"/>
    <w:rsid w:val="00986FDF"/>
    <w:rsid w:val="00987089"/>
    <w:rsid w:val="00987095"/>
    <w:rsid w:val="009870BD"/>
    <w:rsid w:val="009875D0"/>
    <w:rsid w:val="0099012D"/>
    <w:rsid w:val="00990168"/>
    <w:rsid w:val="0099088F"/>
    <w:rsid w:val="0099109B"/>
    <w:rsid w:val="00991976"/>
    <w:rsid w:val="00992E52"/>
    <w:rsid w:val="009937BE"/>
    <w:rsid w:val="00993C17"/>
    <w:rsid w:val="009943D0"/>
    <w:rsid w:val="00994CB0"/>
    <w:rsid w:val="009958CC"/>
    <w:rsid w:val="009971BB"/>
    <w:rsid w:val="00997900"/>
    <w:rsid w:val="00997E55"/>
    <w:rsid w:val="009A003B"/>
    <w:rsid w:val="009A01D8"/>
    <w:rsid w:val="009A0C20"/>
    <w:rsid w:val="009A0CE4"/>
    <w:rsid w:val="009A263F"/>
    <w:rsid w:val="009A286A"/>
    <w:rsid w:val="009A2926"/>
    <w:rsid w:val="009A3057"/>
    <w:rsid w:val="009A3490"/>
    <w:rsid w:val="009A3555"/>
    <w:rsid w:val="009A3659"/>
    <w:rsid w:val="009A4CDF"/>
    <w:rsid w:val="009A5561"/>
    <w:rsid w:val="009A5968"/>
    <w:rsid w:val="009A5AC7"/>
    <w:rsid w:val="009A748D"/>
    <w:rsid w:val="009A7888"/>
    <w:rsid w:val="009A7DE9"/>
    <w:rsid w:val="009B000F"/>
    <w:rsid w:val="009B0566"/>
    <w:rsid w:val="009B25A9"/>
    <w:rsid w:val="009B2615"/>
    <w:rsid w:val="009B340E"/>
    <w:rsid w:val="009B3893"/>
    <w:rsid w:val="009B3920"/>
    <w:rsid w:val="009B42A3"/>
    <w:rsid w:val="009B4367"/>
    <w:rsid w:val="009B5070"/>
    <w:rsid w:val="009B52AD"/>
    <w:rsid w:val="009B5C31"/>
    <w:rsid w:val="009B62E5"/>
    <w:rsid w:val="009B664D"/>
    <w:rsid w:val="009B6A0D"/>
    <w:rsid w:val="009B783C"/>
    <w:rsid w:val="009C075D"/>
    <w:rsid w:val="009C0F4C"/>
    <w:rsid w:val="009C14F2"/>
    <w:rsid w:val="009C18A4"/>
    <w:rsid w:val="009C18F0"/>
    <w:rsid w:val="009C4376"/>
    <w:rsid w:val="009C4572"/>
    <w:rsid w:val="009C7209"/>
    <w:rsid w:val="009C7D87"/>
    <w:rsid w:val="009D0568"/>
    <w:rsid w:val="009D09DA"/>
    <w:rsid w:val="009D1988"/>
    <w:rsid w:val="009D1CBA"/>
    <w:rsid w:val="009D1F41"/>
    <w:rsid w:val="009D200B"/>
    <w:rsid w:val="009D28BE"/>
    <w:rsid w:val="009D323F"/>
    <w:rsid w:val="009D3C0F"/>
    <w:rsid w:val="009D46A4"/>
    <w:rsid w:val="009D4FFA"/>
    <w:rsid w:val="009D504B"/>
    <w:rsid w:val="009D64E8"/>
    <w:rsid w:val="009D77F6"/>
    <w:rsid w:val="009D79B8"/>
    <w:rsid w:val="009D7BDE"/>
    <w:rsid w:val="009E00FC"/>
    <w:rsid w:val="009E0D82"/>
    <w:rsid w:val="009E0F41"/>
    <w:rsid w:val="009E250C"/>
    <w:rsid w:val="009E2F63"/>
    <w:rsid w:val="009E349E"/>
    <w:rsid w:val="009E353C"/>
    <w:rsid w:val="009E37C4"/>
    <w:rsid w:val="009E3F2D"/>
    <w:rsid w:val="009E4215"/>
    <w:rsid w:val="009E45A1"/>
    <w:rsid w:val="009E5596"/>
    <w:rsid w:val="009E5B0A"/>
    <w:rsid w:val="009E6216"/>
    <w:rsid w:val="009E69B8"/>
    <w:rsid w:val="009E718E"/>
    <w:rsid w:val="009F0755"/>
    <w:rsid w:val="009F0FEB"/>
    <w:rsid w:val="009F1466"/>
    <w:rsid w:val="009F1753"/>
    <w:rsid w:val="009F1BDE"/>
    <w:rsid w:val="009F3C4A"/>
    <w:rsid w:val="009F3D4B"/>
    <w:rsid w:val="009F4DE7"/>
    <w:rsid w:val="009F5262"/>
    <w:rsid w:val="009F62C6"/>
    <w:rsid w:val="009F65C3"/>
    <w:rsid w:val="009F68B9"/>
    <w:rsid w:val="00A00091"/>
    <w:rsid w:val="00A005CC"/>
    <w:rsid w:val="00A020C0"/>
    <w:rsid w:val="00A039D1"/>
    <w:rsid w:val="00A10EB3"/>
    <w:rsid w:val="00A11ADB"/>
    <w:rsid w:val="00A12113"/>
    <w:rsid w:val="00A12322"/>
    <w:rsid w:val="00A135D6"/>
    <w:rsid w:val="00A1399F"/>
    <w:rsid w:val="00A13DE2"/>
    <w:rsid w:val="00A14375"/>
    <w:rsid w:val="00A1487C"/>
    <w:rsid w:val="00A158FC"/>
    <w:rsid w:val="00A15A98"/>
    <w:rsid w:val="00A15AC6"/>
    <w:rsid w:val="00A16CB6"/>
    <w:rsid w:val="00A20CCE"/>
    <w:rsid w:val="00A20E48"/>
    <w:rsid w:val="00A21B5E"/>
    <w:rsid w:val="00A228F9"/>
    <w:rsid w:val="00A23CAB"/>
    <w:rsid w:val="00A24532"/>
    <w:rsid w:val="00A26621"/>
    <w:rsid w:val="00A2702C"/>
    <w:rsid w:val="00A27CFC"/>
    <w:rsid w:val="00A3155E"/>
    <w:rsid w:val="00A320D1"/>
    <w:rsid w:val="00A3302E"/>
    <w:rsid w:val="00A332E3"/>
    <w:rsid w:val="00A342D0"/>
    <w:rsid w:val="00A348CB"/>
    <w:rsid w:val="00A34C62"/>
    <w:rsid w:val="00A3576D"/>
    <w:rsid w:val="00A35A29"/>
    <w:rsid w:val="00A35EFA"/>
    <w:rsid w:val="00A36076"/>
    <w:rsid w:val="00A366A8"/>
    <w:rsid w:val="00A36BFB"/>
    <w:rsid w:val="00A37307"/>
    <w:rsid w:val="00A37799"/>
    <w:rsid w:val="00A37911"/>
    <w:rsid w:val="00A379D8"/>
    <w:rsid w:val="00A410B5"/>
    <w:rsid w:val="00A41A1B"/>
    <w:rsid w:val="00A41DB4"/>
    <w:rsid w:val="00A42CC8"/>
    <w:rsid w:val="00A44068"/>
    <w:rsid w:val="00A460D5"/>
    <w:rsid w:val="00A46146"/>
    <w:rsid w:val="00A464C6"/>
    <w:rsid w:val="00A464F8"/>
    <w:rsid w:val="00A465C6"/>
    <w:rsid w:val="00A4784D"/>
    <w:rsid w:val="00A47F09"/>
    <w:rsid w:val="00A5026B"/>
    <w:rsid w:val="00A51F43"/>
    <w:rsid w:val="00A521D8"/>
    <w:rsid w:val="00A5251B"/>
    <w:rsid w:val="00A53348"/>
    <w:rsid w:val="00A53C14"/>
    <w:rsid w:val="00A54D4A"/>
    <w:rsid w:val="00A559C4"/>
    <w:rsid w:val="00A55AA8"/>
    <w:rsid w:val="00A56256"/>
    <w:rsid w:val="00A565A3"/>
    <w:rsid w:val="00A56BC9"/>
    <w:rsid w:val="00A57145"/>
    <w:rsid w:val="00A57152"/>
    <w:rsid w:val="00A57698"/>
    <w:rsid w:val="00A57938"/>
    <w:rsid w:val="00A579B3"/>
    <w:rsid w:val="00A57FB3"/>
    <w:rsid w:val="00A60121"/>
    <w:rsid w:val="00A60241"/>
    <w:rsid w:val="00A60ABF"/>
    <w:rsid w:val="00A61186"/>
    <w:rsid w:val="00A61427"/>
    <w:rsid w:val="00A6159F"/>
    <w:rsid w:val="00A619B3"/>
    <w:rsid w:val="00A620C1"/>
    <w:rsid w:val="00A63DAB"/>
    <w:rsid w:val="00A64554"/>
    <w:rsid w:val="00A6537A"/>
    <w:rsid w:val="00A65D65"/>
    <w:rsid w:val="00A65DEB"/>
    <w:rsid w:val="00A65EFB"/>
    <w:rsid w:val="00A66A63"/>
    <w:rsid w:val="00A66B2D"/>
    <w:rsid w:val="00A66D93"/>
    <w:rsid w:val="00A66F7D"/>
    <w:rsid w:val="00A67589"/>
    <w:rsid w:val="00A679C1"/>
    <w:rsid w:val="00A67EFA"/>
    <w:rsid w:val="00A708FD"/>
    <w:rsid w:val="00A716E0"/>
    <w:rsid w:val="00A7207F"/>
    <w:rsid w:val="00A7234E"/>
    <w:rsid w:val="00A726EA"/>
    <w:rsid w:val="00A727A0"/>
    <w:rsid w:val="00A731CC"/>
    <w:rsid w:val="00A7346D"/>
    <w:rsid w:val="00A73EC5"/>
    <w:rsid w:val="00A741F7"/>
    <w:rsid w:val="00A75859"/>
    <w:rsid w:val="00A75E78"/>
    <w:rsid w:val="00A76CF6"/>
    <w:rsid w:val="00A76FE3"/>
    <w:rsid w:val="00A81500"/>
    <w:rsid w:val="00A82F8D"/>
    <w:rsid w:val="00A83B4E"/>
    <w:rsid w:val="00A841D6"/>
    <w:rsid w:val="00A855E0"/>
    <w:rsid w:val="00A8572F"/>
    <w:rsid w:val="00A85CAC"/>
    <w:rsid w:val="00A864DB"/>
    <w:rsid w:val="00A875CD"/>
    <w:rsid w:val="00A87989"/>
    <w:rsid w:val="00A879BA"/>
    <w:rsid w:val="00A9048E"/>
    <w:rsid w:val="00A90791"/>
    <w:rsid w:val="00A91FB0"/>
    <w:rsid w:val="00A92689"/>
    <w:rsid w:val="00A92A33"/>
    <w:rsid w:val="00A92A67"/>
    <w:rsid w:val="00A92EF7"/>
    <w:rsid w:val="00A937DE"/>
    <w:rsid w:val="00A93CD2"/>
    <w:rsid w:val="00A94943"/>
    <w:rsid w:val="00A94C6B"/>
    <w:rsid w:val="00A9508E"/>
    <w:rsid w:val="00A954B3"/>
    <w:rsid w:val="00A95C3C"/>
    <w:rsid w:val="00A96285"/>
    <w:rsid w:val="00A97A81"/>
    <w:rsid w:val="00A97DAB"/>
    <w:rsid w:val="00AA0043"/>
    <w:rsid w:val="00AA0390"/>
    <w:rsid w:val="00AA078D"/>
    <w:rsid w:val="00AA0811"/>
    <w:rsid w:val="00AA14A9"/>
    <w:rsid w:val="00AA15CC"/>
    <w:rsid w:val="00AA232B"/>
    <w:rsid w:val="00AA25C3"/>
    <w:rsid w:val="00AA347F"/>
    <w:rsid w:val="00AA351F"/>
    <w:rsid w:val="00AA42EB"/>
    <w:rsid w:val="00AA45E5"/>
    <w:rsid w:val="00AA4822"/>
    <w:rsid w:val="00AA50DB"/>
    <w:rsid w:val="00AA55AA"/>
    <w:rsid w:val="00AA5AA4"/>
    <w:rsid w:val="00AA6316"/>
    <w:rsid w:val="00AA72E1"/>
    <w:rsid w:val="00AA7622"/>
    <w:rsid w:val="00AA7AE1"/>
    <w:rsid w:val="00AA7B13"/>
    <w:rsid w:val="00AB023E"/>
    <w:rsid w:val="00AB056C"/>
    <w:rsid w:val="00AB12C2"/>
    <w:rsid w:val="00AB1A0A"/>
    <w:rsid w:val="00AB20D2"/>
    <w:rsid w:val="00AB3591"/>
    <w:rsid w:val="00AB3639"/>
    <w:rsid w:val="00AB42BA"/>
    <w:rsid w:val="00AB47C1"/>
    <w:rsid w:val="00AB4CCF"/>
    <w:rsid w:val="00AB5218"/>
    <w:rsid w:val="00AB59C2"/>
    <w:rsid w:val="00AB5BB9"/>
    <w:rsid w:val="00AB5C0B"/>
    <w:rsid w:val="00AC0C95"/>
    <w:rsid w:val="00AC2B8D"/>
    <w:rsid w:val="00AC2D69"/>
    <w:rsid w:val="00AC4240"/>
    <w:rsid w:val="00AC4483"/>
    <w:rsid w:val="00AC5219"/>
    <w:rsid w:val="00AC5229"/>
    <w:rsid w:val="00AC7A6D"/>
    <w:rsid w:val="00AD02F0"/>
    <w:rsid w:val="00AD0497"/>
    <w:rsid w:val="00AD1AAC"/>
    <w:rsid w:val="00AD1E96"/>
    <w:rsid w:val="00AD2095"/>
    <w:rsid w:val="00AD24A7"/>
    <w:rsid w:val="00AD26F4"/>
    <w:rsid w:val="00AD5348"/>
    <w:rsid w:val="00AD68FD"/>
    <w:rsid w:val="00AD6ADB"/>
    <w:rsid w:val="00AD7D4C"/>
    <w:rsid w:val="00AE0286"/>
    <w:rsid w:val="00AE1559"/>
    <w:rsid w:val="00AE193C"/>
    <w:rsid w:val="00AE1F26"/>
    <w:rsid w:val="00AE2318"/>
    <w:rsid w:val="00AE3728"/>
    <w:rsid w:val="00AE380A"/>
    <w:rsid w:val="00AE3B88"/>
    <w:rsid w:val="00AE3D88"/>
    <w:rsid w:val="00AE57C9"/>
    <w:rsid w:val="00AE64EE"/>
    <w:rsid w:val="00AE6A26"/>
    <w:rsid w:val="00AE7723"/>
    <w:rsid w:val="00AF01AF"/>
    <w:rsid w:val="00AF04CC"/>
    <w:rsid w:val="00AF10A9"/>
    <w:rsid w:val="00AF1BB3"/>
    <w:rsid w:val="00AF1EE4"/>
    <w:rsid w:val="00AF21A2"/>
    <w:rsid w:val="00AF24C3"/>
    <w:rsid w:val="00AF27BD"/>
    <w:rsid w:val="00AF3125"/>
    <w:rsid w:val="00AF322D"/>
    <w:rsid w:val="00AF3C71"/>
    <w:rsid w:val="00AF4197"/>
    <w:rsid w:val="00AF42E3"/>
    <w:rsid w:val="00AF539E"/>
    <w:rsid w:val="00AF56BE"/>
    <w:rsid w:val="00AF59A6"/>
    <w:rsid w:val="00AF69E2"/>
    <w:rsid w:val="00AF6B31"/>
    <w:rsid w:val="00AF76DF"/>
    <w:rsid w:val="00AF76E5"/>
    <w:rsid w:val="00AF7F5D"/>
    <w:rsid w:val="00B001AF"/>
    <w:rsid w:val="00B008F1"/>
    <w:rsid w:val="00B00DC2"/>
    <w:rsid w:val="00B01599"/>
    <w:rsid w:val="00B0229B"/>
    <w:rsid w:val="00B024A2"/>
    <w:rsid w:val="00B04388"/>
    <w:rsid w:val="00B043CA"/>
    <w:rsid w:val="00B05FB8"/>
    <w:rsid w:val="00B07025"/>
    <w:rsid w:val="00B1038E"/>
    <w:rsid w:val="00B10C14"/>
    <w:rsid w:val="00B1149F"/>
    <w:rsid w:val="00B11AFE"/>
    <w:rsid w:val="00B11B94"/>
    <w:rsid w:val="00B13405"/>
    <w:rsid w:val="00B13B50"/>
    <w:rsid w:val="00B13F30"/>
    <w:rsid w:val="00B14946"/>
    <w:rsid w:val="00B14D6E"/>
    <w:rsid w:val="00B14FE8"/>
    <w:rsid w:val="00B15521"/>
    <w:rsid w:val="00B1558C"/>
    <w:rsid w:val="00B15EF1"/>
    <w:rsid w:val="00B160DD"/>
    <w:rsid w:val="00B1635B"/>
    <w:rsid w:val="00B163F3"/>
    <w:rsid w:val="00B16E64"/>
    <w:rsid w:val="00B202F6"/>
    <w:rsid w:val="00B2070A"/>
    <w:rsid w:val="00B210F5"/>
    <w:rsid w:val="00B21282"/>
    <w:rsid w:val="00B21A83"/>
    <w:rsid w:val="00B21DCC"/>
    <w:rsid w:val="00B220B2"/>
    <w:rsid w:val="00B22400"/>
    <w:rsid w:val="00B22699"/>
    <w:rsid w:val="00B22FC5"/>
    <w:rsid w:val="00B239B9"/>
    <w:rsid w:val="00B243A0"/>
    <w:rsid w:val="00B24760"/>
    <w:rsid w:val="00B24B1B"/>
    <w:rsid w:val="00B25CE4"/>
    <w:rsid w:val="00B26257"/>
    <w:rsid w:val="00B265F9"/>
    <w:rsid w:val="00B26924"/>
    <w:rsid w:val="00B26AD6"/>
    <w:rsid w:val="00B26C26"/>
    <w:rsid w:val="00B2708F"/>
    <w:rsid w:val="00B27583"/>
    <w:rsid w:val="00B27937"/>
    <w:rsid w:val="00B279B7"/>
    <w:rsid w:val="00B27D06"/>
    <w:rsid w:val="00B304E9"/>
    <w:rsid w:val="00B31361"/>
    <w:rsid w:val="00B31545"/>
    <w:rsid w:val="00B31B0A"/>
    <w:rsid w:val="00B3202B"/>
    <w:rsid w:val="00B327DE"/>
    <w:rsid w:val="00B32BB0"/>
    <w:rsid w:val="00B33247"/>
    <w:rsid w:val="00B33FCC"/>
    <w:rsid w:val="00B34BAF"/>
    <w:rsid w:val="00B3572C"/>
    <w:rsid w:val="00B35741"/>
    <w:rsid w:val="00B35BED"/>
    <w:rsid w:val="00B35D79"/>
    <w:rsid w:val="00B35FBD"/>
    <w:rsid w:val="00B36238"/>
    <w:rsid w:val="00B3655A"/>
    <w:rsid w:val="00B36732"/>
    <w:rsid w:val="00B3674D"/>
    <w:rsid w:val="00B369BE"/>
    <w:rsid w:val="00B3724B"/>
    <w:rsid w:val="00B401AB"/>
    <w:rsid w:val="00B40925"/>
    <w:rsid w:val="00B42367"/>
    <w:rsid w:val="00B43120"/>
    <w:rsid w:val="00B43AE9"/>
    <w:rsid w:val="00B43C9A"/>
    <w:rsid w:val="00B43E24"/>
    <w:rsid w:val="00B44367"/>
    <w:rsid w:val="00B464BB"/>
    <w:rsid w:val="00B46636"/>
    <w:rsid w:val="00B466E9"/>
    <w:rsid w:val="00B4743C"/>
    <w:rsid w:val="00B47A75"/>
    <w:rsid w:val="00B5050E"/>
    <w:rsid w:val="00B50ABF"/>
    <w:rsid w:val="00B50C1A"/>
    <w:rsid w:val="00B51095"/>
    <w:rsid w:val="00B512E0"/>
    <w:rsid w:val="00B51960"/>
    <w:rsid w:val="00B54690"/>
    <w:rsid w:val="00B548DC"/>
    <w:rsid w:val="00B55098"/>
    <w:rsid w:val="00B55BFA"/>
    <w:rsid w:val="00B56274"/>
    <w:rsid w:val="00B570EB"/>
    <w:rsid w:val="00B57430"/>
    <w:rsid w:val="00B577BC"/>
    <w:rsid w:val="00B603B5"/>
    <w:rsid w:val="00B60FF6"/>
    <w:rsid w:val="00B6183C"/>
    <w:rsid w:val="00B61A0B"/>
    <w:rsid w:val="00B62417"/>
    <w:rsid w:val="00B629DA"/>
    <w:rsid w:val="00B62A00"/>
    <w:rsid w:val="00B654C4"/>
    <w:rsid w:val="00B6581C"/>
    <w:rsid w:val="00B659E2"/>
    <w:rsid w:val="00B65F75"/>
    <w:rsid w:val="00B66AF5"/>
    <w:rsid w:val="00B70B85"/>
    <w:rsid w:val="00B70FA0"/>
    <w:rsid w:val="00B72CA7"/>
    <w:rsid w:val="00B737A8"/>
    <w:rsid w:val="00B73B1F"/>
    <w:rsid w:val="00B73DC4"/>
    <w:rsid w:val="00B73FAF"/>
    <w:rsid w:val="00B75294"/>
    <w:rsid w:val="00B76793"/>
    <w:rsid w:val="00B76ED8"/>
    <w:rsid w:val="00B81B38"/>
    <w:rsid w:val="00B837C8"/>
    <w:rsid w:val="00B8407F"/>
    <w:rsid w:val="00B84401"/>
    <w:rsid w:val="00B847ED"/>
    <w:rsid w:val="00B85514"/>
    <w:rsid w:val="00B8592A"/>
    <w:rsid w:val="00B85CBC"/>
    <w:rsid w:val="00B862D8"/>
    <w:rsid w:val="00B873D5"/>
    <w:rsid w:val="00B87AED"/>
    <w:rsid w:val="00B9038C"/>
    <w:rsid w:val="00B915E1"/>
    <w:rsid w:val="00B933AD"/>
    <w:rsid w:val="00B93C3A"/>
    <w:rsid w:val="00B941C4"/>
    <w:rsid w:val="00B961E3"/>
    <w:rsid w:val="00B97636"/>
    <w:rsid w:val="00B979A2"/>
    <w:rsid w:val="00B97E6B"/>
    <w:rsid w:val="00BA0DA9"/>
    <w:rsid w:val="00BA103E"/>
    <w:rsid w:val="00BA1C9F"/>
    <w:rsid w:val="00BA21BB"/>
    <w:rsid w:val="00BA225D"/>
    <w:rsid w:val="00BA2794"/>
    <w:rsid w:val="00BA27B4"/>
    <w:rsid w:val="00BA2B58"/>
    <w:rsid w:val="00BA2E7A"/>
    <w:rsid w:val="00BA37D9"/>
    <w:rsid w:val="00BA3EB7"/>
    <w:rsid w:val="00BA45AE"/>
    <w:rsid w:val="00BA4625"/>
    <w:rsid w:val="00BA6003"/>
    <w:rsid w:val="00BA600D"/>
    <w:rsid w:val="00BA66FE"/>
    <w:rsid w:val="00BA765F"/>
    <w:rsid w:val="00BB011E"/>
    <w:rsid w:val="00BB066E"/>
    <w:rsid w:val="00BB0E8C"/>
    <w:rsid w:val="00BB28E9"/>
    <w:rsid w:val="00BB2D13"/>
    <w:rsid w:val="00BB44D5"/>
    <w:rsid w:val="00BB453F"/>
    <w:rsid w:val="00BB4A22"/>
    <w:rsid w:val="00BB5329"/>
    <w:rsid w:val="00BB54BA"/>
    <w:rsid w:val="00BB5C74"/>
    <w:rsid w:val="00BB648D"/>
    <w:rsid w:val="00BB687C"/>
    <w:rsid w:val="00BB693F"/>
    <w:rsid w:val="00BB7766"/>
    <w:rsid w:val="00BC01DE"/>
    <w:rsid w:val="00BC0E37"/>
    <w:rsid w:val="00BC112F"/>
    <w:rsid w:val="00BC1ED1"/>
    <w:rsid w:val="00BC1FF4"/>
    <w:rsid w:val="00BC216C"/>
    <w:rsid w:val="00BC2175"/>
    <w:rsid w:val="00BC21B4"/>
    <w:rsid w:val="00BC2407"/>
    <w:rsid w:val="00BC36DA"/>
    <w:rsid w:val="00BC370F"/>
    <w:rsid w:val="00BC44C4"/>
    <w:rsid w:val="00BC533E"/>
    <w:rsid w:val="00BC594D"/>
    <w:rsid w:val="00BC5C80"/>
    <w:rsid w:val="00BC61AF"/>
    <w:rsid w:val="00BC63AE"/>
    <w:rsid w:val="00BC665F"/>
    <w:rsid w:val="00BC666B"/>
    <w:rsid w:val="00BC7285"/>
    <w:rsid w:val="00BD00EB"/>
    <w:rsid w:val="00BD1BFF"/>
    <w:rsid w:val="00BD1FAF"/>
    <w:rsid w:val="00BD3016"/>
    <w:rsid w:val="00BD31C9"/>
    <w:rsid w:val="00BD3891"/>
    <w:rsid w:val="00BD4088"/>
    <w:rsid w:val="00BD4BF3"/>
    <w:rsid w:val="00BD5B23"/>
    <w:rsid w:val="00BD6744"/>
    <w:rsid w:val="00BD6DD3"/>
    <w:rsid w:val="00BE01A3"/>
    <w:rsid w:val="00BE0220"/>
    <w:rsid w:val="00BE1485"/>
    <w:rsid w:val="00BE1B77"/>
    <w:rsid w:val="00BE1C1A"/>
    <w:rsid w:val="00BE20DF"/>
    <w:rsid w:val="00BE2D73"/>
    <w:rsid w:val="00BE3029"/>
    <w:rsid w:val="00BE3107"/>
    <w:rsid w:val="00BE32BD"/>
    <w:rsid w:val="00BE41A0"/>
    <w:rsid w:val="00BE5118"/>
    <w:rsid w:val="00BE5E2A"/>
    <w:rsid w:val="00BE67D6"/>
    <w:rsid w:val="00BE6FA8"/>
    <w:rsid w:val="00BE7772"/>
    <w:rsid w:val="00BF072A"/>
    <w:rsid w:val="00BF146A"/>
    <w:rsid w:val="00BF1837"/>
    <w:rsid w:val="00BF264B"/>
    <w:rsid w:val="00BF2B1A"/>
    <w:rsid w:val="00BF30A1"/>
    <w:rsid w:val="00BF31B8"/>
    <w:rsid w:val="00BF3842"/>
    <w:rsid w:val="00BF3DFC"/>
    <w:rsid w:val="00BF482E"/>
    <w:rsid w:val="00BF6046"/>
    <w:rsid w:val="00BF6647"/>
    <w:rsid w:val="00BF7AEA"/>
    <w:rsid w:val="00BF7BF7"/>
    <w:rsid w:val="00BF7F98"/>
    <w:rsid w:val="00C00B3B"/>
    <w:rsid w:val="00C0106E"/>
    <w:rsid w:val="00C015F1"/>
    <w:rsid w:val="00C0192F"/>
    <w:rsid w:val="00C02B52"/>
    <w:rsid w:val="00C035E2"/>
    <w:rsid w:val="00C03D41"/>
    <w:rsid w:val="00C04816"/>
    <w:rsid w:val="00C06D8A"/>
    <w:rsid w:val="00C1043B"/>
    <w:rsid w:val="00C10D4E"/>
    <w:rsid w:val="00C10E2C"/>
    <w:rsid w:val="00C110C4"/>
    <w:rsid w:val="00C11D04"/>
    <w:rsid w:val="00C12062"/>
    <w:rsid w:val="00C127E9"/>
    <w:rsid w:val="00C1349C"/>
    <w:rsid w:val="00C136EB"/>
    <w:rsid w:val="00C1389D"/>
    <w:rsid w:val="00C13EBD"/>
    <w:rsid w:val="00C151A5"/>
    <w:rsid w:val="00C15231"/>
    <w:rsid w:val="00C15471"/>
    <w:rsid w:val="00C159D2"/>
    <w:rsid w:val="00C16FCC"/>
    <w:rsid w:val="00C1769B"/>
    <w:rsid w:val="00C1783A"/>
    <w:rsid w:val="00C20532"/>
    <w:rsid w:val="00C20A34"/>
    <w:rsid w:val="00C20D1C"/>
    <w:rsid w:val="00C2238D"/>
    <w:rsid w:val="00C22E3A"/>
    <w:rsid w:val="00C23A36"/>
    <w:rsid w:val="00C2589E"/>
    <w:rsid w:val="00C25CA7"/>
    <w:rsid w:val="00C25E79"/>
    <w:rsid w:val="00C25EBE"/>
    <w:rsid w:val="00C26C75"/>
    <w:rsid w:val="00C26E3E"/>
    <w:rsid w:val="00C2702E"/>
    <w:rsid w:val="00C272C7"/>
    <w:rsid w:val="00C2731C"/>
    <w:rsid w:val="00C30528"/>
    <w:rsid w:val="00C30A5C"/>
    <w:rsid w:val="00C31091"/>
    <w:rsid w:val="00C31B3A"/>
    <w:rsid w:val="00C32078"/>
    <w:rsid w:val="00C3210C"/>
    <w:rsid w:val="00C3288A"/>
    <w:rsid w:val="00C33021"/>
    <w:rsid w:val="00C33786"/>
    <w:rsid w:val="00C338DD"/>
    <w:rsid w:val="00C362CB"/>
    <w:rsid w:val="00C3637B"/>
    <w:rsid w:val="00C368A3"/>
    <w:rsid w:val="00C37176"/>
    <w:rsid w:val="00C40803"/>
    <w:rsid w:val="00C40AFF"/>
    <w:rsid w:val="00C41743"/>
    <w:rsid w:val="00C41BB7"/>
    <w:rsid w:val="00C43A94"/>
    <w:rsid w:val="00C43C3A"/>
    <w:rsid w:val="00C43C43"/>
    <w:rsid w:val="00C43CFD"/>
    <w:rsid w:val="00C442F2"/>
    <w:rsid w:val="00C44753"/>
    <w:rsid w:val="00C447FC"/>
    <w:rsid w:val="00C45647"/>
    <w:rsid w:val="00C45832"/>
    <w:rsid w:val="00C46A2B"/>
    <w:rsid w:val="00C46A3E"/>
    <w:rsid w:val="00C50091"/>
    <w:rsid w:val="00C508E2"/>
    <w:rsid w:val="00C50D5B"/>
    <w:rsid w:val="00C5148A"/>
    <w:rsid w:val="00C51758"/>
    <w:rsid w:val="00C518AE"/>
    <w:rsid w:val="00C51980"/>
    <w:rsid w:val="00C51B2A"/>
    <w:rsid w:val="00C5253C"/>
    <w:rsid w:val="00C53711"/>
    <w:rsid w:val="00C53A28"/>
    <w:rsid w:val="00C53C24"/>
    <w:rsid w:val="00C5428C"/>
    <w:rsid w:val="00C5490D"/>
    <w:rsid w:val="00C553DC"/>
    <w:rsid w:val="00C55B47"/>
    <w:rsid w:val="00C56549"/>
    <w:rsid w:val="00C568DB"/>
    <w:rsid w:val="00C56B61"/>
    <w:rsid w:val="00C56EA3"/>
    <w:rsid w:val="00C57DEB"/>
    <w:rsid w:val="00C606EF"/>
    <w:rsid w:val="00C60D92"/>
    <w:rsid w:val="00C615A9"/>
    <w:rsid w:val="00C622A7"/>
    <w:rsid w:val="00C62632"/>
    <w:rsid w:val="00C626CC"/>
    <w:rsid w:val="00C62C57"/>
    <w:rsid w:val="00C631BB"/>
    <w:rsid w:val="00C632BB"/>
    <w:rsid w:val="00C63B05"/>
    <w:rsid w:val="00C649BF"/>
    <w:rsid w:val="00C64EC2"/>
    <w:rsid w:val="00C66763"/>
    <w:rsid w:val="00C66CE2"/>
    <w:rsid w:val="00C66F45"/>
    <w:rsid w:val="00C6768E"/>
    <w:rsid w:val="00C6799D"/>
    <w:rsid w:val="00C71274"/>
    <w:rsid w:val="00C71579"/>
    <w:rsid w:val="00C71738"/>
    <w:rsid w:val="00C74810"/>
    <w:rsid w:val="00C75ADB"/>
    <w:rsid w:val="00C75F72"/>
    <w:rsid w:val="00C76DCA"/>
    <w:rsid w:val="00C770F4"/>
    <w:rsid w:val="00C775F2"/>
    <w:rsid w:val="00C77AF2"/>
    <w:rsid w:val="00C8046B"/>
    <w:rsid w:val="00C8069C"/>
    <w:rsid w:val="00C80C8B"/>
    <w:rsid w:val="00C83261"/>
    <w:rsid w:val="00C845F0"/>
    <w:rsid w:val="00C84E03"/>
    <w:rsid w:val="00C855EA"/>
    <w:rsid w:val="00C86096"/>
    <w:rsid w:val="00C86CDA"/>
    <w:rsid w:val="00C86DFE"/>
    <w:rsid w:val="00C876D4"/>
    <w:rsid w:val="00C902F9"/>
    <w:rsid w:val="00C90E9B"/>
    <w:rsid w:val="00C910D3"/>
    <w:rsid w:val="00C91740"/>
    <w:rsid w:val="00C9211E"/>
    <w:rsid w:val="00C92BC3"/>
    <w:rsid w:val="00C936EB"/>
    <w:rsid w:val="00C93D5A"/>
    <w:rsid w:val="00C964DB"/>
    <w:rsid w:val="00C96B20"/>
    <w:rsid w:val="00C97F4E"/>
    <w:rsid w:val="00CA06BE"/>
    <w:rsid w:val="00CA09C4"/>
    <w:rsid w:val="00CA0CE8"/>
    <w:rsid w:val="00CA26C0"/>
    <w:rsid w:val="00CA585E"/>
    <w:rsid w:val="00CA5D86"/>
    <w:rsid w:val="00CA6B6E"/>
    <w:rsid w:val="00CA7489"/>
    <w:rsid w:val="00CA75CE"/>
    <w:rsid w:val="00CA7A63"/>
    <w:rsid w:val="00CB0217"/>
    <w:rsid w:val="00CB05F7"/>
    <w:rsid w:val="00CB0AD6"/>
    <w:rsid w:val="00CB11E3"/>
    <w:rsid w:val="00CB2900"/>
    <w:rsid w:val="00CB3BF6"/>
    <w:rsid w:val="00CB42E2"/>
    <w:rsid w:val="00CB4BEA"/>
    <w:rsid w:val="00CB5475"/>
    <w:rsid w:val="00CB5D66"/>
    <w:rsid w:val="00CB618D"/>
    <w:rsid w:val="00CB7637"/>
    <w:rsid w:val="00CB769F"/>
    <w:rsid w:val="00CC0E7B"/>
    <w:rsid w:val="00CC1882"/>
    <w:rsid w:val="00CC1F37"/>
    <w:rsid w:val="00CC3395"/>
    <w:rsid w:val="00CC34C0"/>
    <w:rsid w:val="00CC34C9"/>
    <w:rsid w:val="00CC36CC"/>
    <w:rsid w:val="00CC36D1"/>
    <w:rsid w:val="00CC3C8A"/>
    <w:rsid w:val="00CC42B8"/>
    <w:rsid w:val="00CC4EE4"/>
    <w:rsid w:val="00CC5CB7"/>
    <w:rsid w:val="00CC69DD"/>
    <w:rsid w:val="00CC7A59"/>
    <w:rsid w:val="00CD0D4B"/>
    <w:rsid w:val="00CD0EDB"/>
    <w:rsid w:val="00CD14F2"/>
    <w:rsid w:val="00CD1703"/>
    <w:rsid w:val="00CD182C"/>
    <w:rsid w:val="00CD359A"/>
    <w:rsid w:val="00CD375D"/>
    <w:rsid w:val="00CD436D"/>
    <w:rsid w:val="00CD48B6"/>
    <w:rsid w:val="00CD4A4E"/>
    <w:rsid w:val="00CD4D2C"/>
    <w:rsid w:val="00CD6CAC"/>
    <w:rsid w:val="00CD72FA"/>
    <w:rsid w:val="00CE1739"/>
    <w:rsid w:val="00CE1D89"/>
    <w:rsid w:val="00CE2B4A"/>
    <w:rsid w:val="00CE2D38"/>
    <w:rsid w:val="00CE311F"/>
    <w:rsid w:val="00CE4019"/>
    <w:rsid w:val="00CE409E"/>
    <w:rsid w:val="00CE54A7"/>
    <w:rsid w:val="00CE590F"/>
    <w:rsid w:val="00CE5F9D"/>
    <w:rsid w:val="00CE6C4D"/>
    <w:rsid w:val="00CE6D1E"/>
    <w:rsid w:val="00CE7035"/>
    <w:rsid w:val="00CF05C0"/>
    <w:rsid w:val="00CF1301"/>
    <w:rsid w:val="00CF1B9C"/>
    <w:rsid w:val="00CF2524"/>
    <w:rsid w:val="00CF3E42"/>
    <w:rsid w:val="00CF54E9"/>
    <w:rsid w:val="00CF6087"/>
    <w:rsid w:val="00CF66D7"/>
    <w:rsid w:val="00CF7699"/>
    <w:rsid w:val="00D00190"/>
    <w:rsid w:val="00D00228"/>
    <w:rsid w:val="00D01836"/>
    <w:rsid w:val="00D01FEA"/>
    <w:rsid w:val="00D0200E"/>
    <w:rsid w:val="00D02366"/>
    <w:rsid w:val="00D028DB"/>
    <w:rsid w:val="00D0359F"/>
    <w:rsid w:val="00D039E0"/>
    <w:rsid w:val="00D042F4"/>
    <w:rsid w:val="00D04E6F"/>
    <w:rsid w:val="00D05DFD"/>
    <w:rsid w:val="00D066F4"/>
    <w:rsid w:val="00D0677C"/>
    <w:rsid w:val="00D073A3"/>
    <w:rsid w:val="00D108F6"/>
    <w:rsid w:val="00D109B0"/>
    <w:rsid w:val="00D10F7C"/>
    <w:rsid w:val="00D11164"/>
    <w:rsid w:val="00D11BC7"/>
    <w:rsid w:val="00D1223A"/>
    <w:rsid w:val="00D127D2"/>
    <w:rsid w:val="00D128B7"/>
    <w:rsid w:val="00D12B66"/>
    <w:rsid w:val="00D12D66"/>
    <w:rsid w:val="00D13AF1"/>
    <w:rsid w:val="00D13F00"/>
    <w:rsid w:val="00D15B93"/>
    <w:rsid w:val="00D1616D"/>
    <w:rsid w:val="00D16610"/>
    <w:rsid w:val="00D171D8"/>
    <w:rsid w:val="00D17FC9"/>
    <w:rsid w:val="00D208DB"/>
    <w:rsid w:val="00D20C14"/>
    <w:rsid w:val="00D21E1B"/>
    <w:rsid w:val="00D22E7C"/>
    <w:rsid w:val="00D238DB"/>
    <w:rsid w:val="00D240C7"/>
    <w:rsid w:val="00D24814"/>
    <w:rsid w:val="00D24D48"/>
    <w:rsid w:val="00D25601"/>
    <w:rsid w:val="00D258BB"/>
    <w:rsid w:val="00D25ADE"/>
    <w:rsid w:val="00D26656"/>
    <w:rsid w:val="00D2665A"/>
    <w:rsid w:val="00D266A9"/>
    <w:rsid w:val="00D26E76"/>
    <w:rsid w:val="00D27287"/>
    <w:rsid w:val="00D2761E"/>
    <w:rsid w:val="00D306C6"/>
    <w:rsid w:val="00D332E7"/>
    <w:rsid w:val="00D33505"/>
    <w:rsid w:val="00D33916"/>
    <w:rsid w:val="00D3435D"/>
    <w:rsid w:val="00D34B2B"/>
    <w:rsid w:val="00D34C4B"/>
    <w:rsid w:val="00D34D38"/>
    <w:rsid w:val="00D34D50"/>
    <w:rsid w:val="00D3534D"/>
    <w:rsid w:val="00D35602"/>
    <w:rsid w:val="00D36485"/>
    <w:rsid w:val="00D365DA"/>
    <w:rsid w:val="00D368BB"/>
    <w:rsid w:val="00D378D6"/>
    <w:rsid w:val="00D40463"/>
    <w:rsid w:val="00D41884"/>
    <w:rsid w:val="00D420A2"/>
    <w:rsid w:val="00D42994"/>
    <w:rsid w:val="00D42DE4"/>
    <w:rsid w:val="00D43E61"/>
    <w:rsid w:val="00D43F7C"/>
    <w:rsid w:val="00D44537"/>
    <w:rsid w:val="00D452C6"/>
    <w:rsid w:val="00D45DFD"/>
    <w:rsid w:val="00D463D7"/>
    <w:rsid w:val="00D46F86"/>
    <w:rsid w:val="00D47016"/>
    <w:rsid w:val="00D471A3"/>
    <w:rsid w:val="00D471B1"/>
    <w:rsid w:val="00D47844"/>
    <w:rsid w:val="00D47CED"/>
    <w:rsid w:val="00D50BC4"/>
    <w:rsid w:val="00D50D2E"/>
    <w:rsid w:val="00D515A2"/>
    <w:rsid w:val="00D5203C"/>
    <w:rsid w:val="00D52DA9"/>
    <w:rsid w:val="00D52E98"/>
    <w:rsid w:val="00D5503F"/>
    <w:rsid w:val="00D5522C"/>
    <w:rsid w:val="00D55940"/>
    <w:rsid w:val="00D562A7"/>
    <w:rsid w:val="00D56756"/>
    <w:rsid w:val="00D57792"/>
    <w:rsid w:val="00D601FE"/>
    <w:rsid w:val="00D60997"/>
    <w:rsid w:val="00D61BE8"/>
    <w:rsid w:val="00D620CE"/>
    <w:rsid w:val="00D62392"/>
    <w:rsid w:val="00D62AD3"/>
    <w:rsid w:val="00D62CEE"/>
    <w:rsid w:val="00D64602"/>
    <w:rsid w:val="00D6507E"/>
    <w:rsid w:val="00D65988"/>
    <w:rsid w:val="00D65E96"/>
    <w:rsid w:val="00D65EAC"/>
    <w:rsid w:val="00D6673C"/>
    <w:rsid w:val="00D66C0B"/>
    <w:rsid w:val="00D66C27"/>
    <w:rsid w:val="00D66EAA"/>
    <w:rsid w:val="00D6769C"/>
    <w:rsid w:val="00D67921"/>
    <w:rsid w:val="00D705B0"/>
    <w:rsid w:val="00D70EA1"/>
    <w:rsid w:val="00D71FDF"/>
    <w:rsid w:val="00D73037"/>
    <w:rsid w:val="00D734BE"/>
    <w:rsid w:val="00D737B3"/>
    <w:rsid w:val="00D7508E"/>
    <w:rsid w:val="00D75EC1"/>
    <w:rsid w:val="00D8009E"/>
    <w:rsid w:val="00D80266"/>
    <w:rsid w:val="00D8030B"/>
    <w:rsid w:val="00D81E39"/>
    <w:rsid w:val="00D848C7"/>
    <w:rsid w:val="00D84B3B"/>
    <w:rsid w:val="00D857A2"/>
    <w:rsid w:val="00D85C55"/>
    <w:rsid w:val="00D8657C"/>
    <w:rsid w:val="00D87098"/>
    <w:rsid w:val="00D900E5"/>
    <w:rsid w:val="00D90960"/>
    <w:rsid w:val="00D91110"/>
    <w:rsid w:val="00D9167D"/>
    <w:rsid w:val="00D917F0"/>
    <w:rsid w:val="00D918C2"/>
    <w:rsid w:val="00D92985"/>
    <w:rsid w:val="00D931DF"/>
    <w:rsid w:val="00D94032"/>
    <w:rsid w:val="00D940E1"/>
    <w:rsid w:val="00D94C23"/>
    <w:rsid w:val="00D95DF8"/>
    <w:rsid w:val="00D97319"/>
    <w:rsid w:val="00D97CF3"/>
    <w:rsid w:val="00DA009B"/>
    <w:rsid w:val="00DA1EAF"/>
    <w:rsid w:val="00DA39C4"/>
    <w:rsid w:val="00DA42BE"/>
    <w:rsid w:val="00DA56A2"/>
    <w:rsid w:val="00DA56E7"/>
    <w:rsid w:val="00DA5CDC"/>
    <w:rsid w:val="00DA72C5"/>
    <w:rsid w:val="00DA7F46"/>
    <w:rsid w:val="00DB1038"/>
    <w:rsid w:val="00DB1C7E"/>
    <w:rsid w:val="00DB1D31"/>
    <w:rsid w:val="00DB28F8"/>
    <w:rsid w:val="00DB36F0"/>
    <w:rsid w:val="00DB5A61"/>
    <w:rsid w:val="00DB6884"/>
    <w:rsid w:val="00DB6BCC"/>
    <w:rsid w:val="00DB70D4"/>
    <w:rsid w:val="00DB7398"/>
    <w:rsid w:val="00DB78F4"/>
    <w:rsid w:val="00DB7EE0"/>
    <w:rsid w:val="00DC0964"/>
    <w:rsid w:val="00DC2C7D"/>
    <w:rsid w:val="00DC457B"/>
    <w:rsid w:val="00DC52F7"/>
    <w:rsid w:val="00DC55AA"/>
    <w:rsid w:val="00DC65C3"/>
    <w:rsid w:val="00DC6E6E"/>
    <w:rsid w:val="00DC73B0"/>
    <w:rsid w:val="00DC7544"/>
    <w:rsid w:val="00DC7604"/>
    <w:rsid w:val="00DC7B80"/>
    <w:rsid w:val="00DD0110"/>
    <w:rsid w:val="00DD0D92"/>
    <w:rsid w:val="00DD0F9B"/>
    <w:rsid w:val="00DD11D6"/>
    <w:rsid w:val="00DD15EB"/>
    <w:rsid w:val="00DD2F28"/>
    <w:rsid w:val="00DD3231"/>
    <w:rsid w:val="00DD38B3"/>
    <w:rsid w:val="00DD3DE0"/>
    <w:rsid w:val="00DD3E4A"/>
    <w:rsid w:val="00DD4259"/>
    <w:rsid w:val="00DD477A"/>
    <w:rsid w:val="00DD4ABC"/>
    <w:rsid w:val="00DD62E7"/>
    <w:rsid w:val="00DD690B"/>
    <w:rsid w:val="00DD6C75"/>
    <w:rsid w:val="00DD6E94"/>
    <w:rsid w:val="00DD70D0"/>
    <w:rsid w:val="00DD7822"/>
    <w:rsid w:val="00DE04C2"/>
    <w:rsid w:val="00DE0F35"/>
    <w:rsid w:val="00DE1BBD"/>
    <w:rsid w:val="00DE1E6E"/>
    <w:rsid w:val="00DE24FD"/>
    <w:rsid w:val="00DE33C5"/>
    <w:rsid w:val="00DE4758"/>
    <w:rsid w:val="00DE4976"/>
    <w:rsid w:val="00DE5B52"/>
    <w:rsid w:val="00DE64E1"/>
    <w:rsid w:val="00DE7004"/>
    <w:rsid w:val="00DE712C"/>
    <w:rsid w:val="00DE75C2"/>
    <w:rsid w:val="00DF16A3"/>
    <w:rsid w:val="00DF17DC"/>
    <w:rsid w:val="00DF1B63"/>
    <w:rsid w:val="00DF1C56"/>
    <w:rsid w:val="00DF2004"/>
    <w:rsid w:val="00DF20C8"/>
    <w:rsid w:val="00DF255E"/>
    <w:rsid w:val="00DF26BB"/>
    <w:rsid w:val="00DF2DCF"/>
    <w:rsid w:val="00DF31BF"/>
    <w:rsid w:val="00DF31FF"/>
    <w:rsid w:val="00DF4E55"/>
    <w:rsid w:val="00DF6F25"/>
    <w:rsid w:val="00DF728E"/>
    <w:rsid w:val="00DF7BF6"/>
    <w:rsid w:val="00E01B3B"/>
    <w:rsid w:val="00E021B8"/>
    <w:rsid w:val="00E02CFD"/>
    <w:rsid w:val="00E046C2"/>
    <w:rsid w:val="00E04D1D"/>
    <w:rsid w:val="00E0606D"/>
    <w:rsid w:val="00E068B4"/>
    <w:rsid w:val="00E06C17"/>
    <w:rsid w:val="00E100D9"/>
    <w:rsid w:val="00E101A7"/>
    <w:rsid w:val="00E109E5"/>
    <w:rsid w:val="00E11278"/>
    <w:rsid w:val="00E1281B"/>
    <w:rsid w:val="00E13193"/>
    <w:rsid w:val="00E13E39"/>
    <w:rsid w:val="00E13E8F"/>
    <w:rsid w:val="00E149B2"/>
    <w:rsid w:val="00E1649A"/>
    <w:rsid w:val="00E171E4"/>
    <w:rsid w:val="00E17E86"/>
    <w:rsid w:val="00E20ED0"/>
    <w:rsid w:val="00E21286"/>
    <w:rsid w:val="00E22484"/>
    <w:rsid w:val="00E228F8"/>
    <w:rsid w:val="00E2297E"/>
    <w:rsid w:val="00E22ADD"/>
    <w:rsid w:val="00E25DB3"/>
    <w:rsid w:val="00E25E84"/>
    <w:rsid w:val="00E2759E"/>
    <w:rsid w:val="00E27A1A"/>
    <w:rsid w:val="00E3072A"/>
    <w:rsid w:val="00E30C27"/>
    <w:rsid w:val="00E30C4F"/>
    <w:rsid w:val="00E3369E"/>
    <w:rsid w:val="00E3397F"/>
    <w:rsid w:val="00E340FD"/>
    <w:rsid w:val="00E363B3"/>
    <w:rsid w:val="00E40668"/>
    <w:rsid w:val="00E40967"/>
    <w:rsid w:val="00E41B2A"/>
    <w:rsid w:val="00E4245E"/>
    <w:rsid w:val="00E437E2"/>
    <w:rsid w:val="00E43AD5"/>
    <w:rsid w:val="00E43F43"/>
    <w:rsid w:val="00E45F17"/>
    <w:rsid w:val="00E46688"/>
    <w:rsid w:val="00E46B13"/>
    <w:rsid w:val="00E46EFC"/>
    <w:rsid w:val="00E47F06"/>
    <w:rsid w:val="00E514E9"/>
    <w:rsid w:val="00E519A6"/>
    <w:rsid w:val="00E520DC"/>
    <w:rsid w:val="00E526C0"/>
    <w:rsid w:val="00E52808"/>
    <w:rsid w:val="00E52FC4"/>
    <w:rsid w:val="00E53A48"/>
    <w:rsid w:val="00E53AA5"/>
    <w:rsid w:val="00E53BD8"/>
    <w:rsid w:val="00E570AA"/>
    <w:rsid w:val="00E570CC"/>
    <w:rsid w:val="00E57714"/>
    <w:rsid w:val="00E60354"/>
    <w:rsid w:val="00E60650"/>
    <w:rsid w:val="00E60CCA"/>
    <w:rsid w:val="00E616B0"/>
    <w:rsid w:val="00E61B16"/>
    <w:rsid w:val="00E627EE"/>
    <w:rsid w:val="00E62D7A"/>
    <w:rsid w:val="00E638F2"/>
    <w:rsid w:val="00E64047"/>
    <w:rsid w:val="00E651B7"/>
    <w:rsid w:val="00E6573D"/>
    <w:rsid w:val="00E65DD5"/>
    <w:rsid w:val="00E67BA8"/>
    <w:rsid w:val="00E67D49"/>
    <w:rsid w:val="00E7030F"/>
    <w:rsid w:val="00E70DEF"/>
    <w:rsid w:val="00E7145E"/>
    <w:rsid w:val="00E71F86"/>
    <w:rsid w:val="00E7240D"/>
    <w:rsid w:val="00E725D2"/>
    <w:rsid w:val="00E74A7B"/>
    <w:rsid w:val="00E74B4C"/>
    <w:rsid w:val="00E74B9B"/>
    <w:rsid w:val="00E754FD"/>
    <w:rsid w:val="00E759BC"/>
    <w:rsid w:val="00E75D27"/>
    <w:rsid w:val="00E7674E"/>
    <w:rsid w:val="00E76C86"/>
    <w:rsid w:val="00E80719"/>
    <w:rsid w:val="00E810C9"/>
    <w:rsid w:val="00E81795"/>
    <w:rsid w:val="00E821E5"/>
    <w:rsid w:val="00E83278"/>
    <w:rsid w:val="00E833DA"/>
    <w:rsid w:val="00E83B7B"/>
    <w:rsid w:val="00E8455A"/>
    <w:rsid w:val="00E86B32"/>
    <w:rsid w:val="00E86DAE"/>
    <w:rsid w:val="00E87D4C"/>
    <w:rsid w:val="00E906BC"/>
    <w:rsid w:val="00E910BA"/>
    <w:rsid w:val="00E9158E"/>
    <w:rsid w:val="00E91AAC"/>
    <w:rsid w:val="00E91CDE"/>
    <w:rsid w:val="00E92056"/>
    <w:rsid w:val="00E93643"/>
    <w:rsid w:val="00E93E48"/>
    <w:rsid w:val="00E942A4"/>
    <w:rsid w:val="00E94E9D"/>
    <w:rsid w:val="00E95331"/>
    <w:rsid w:val="00E95356"/>
    <w:rsid w:val="00E95BDD"/>
    <w:rsid w:val="00E95C62"/>
    <w:rsid w:val="00E97088"/>
    <w:rsid w:val="00E97320"/>
    <w:rsid w:val="00E97D7D"/>
    <w:rsid w:val="00EA06E8"/>
    <w:rsid w:val="00EA086D"/>
    <w:rsid w:val="00EA214B"/>
    <w:rsid w:val="00EA2471"/>
    <w:rsid w:val="00EA3B59"/>
    <w:rsid w:val="00EA4345"/>
    <w:rsid w:val="00EA48F1"/>
    <w:rsid w:val="00EA4FE6"/>
    <w:rsid w:val="00EA5501"/>
    <w:rsid w:val="00EA7F98"/>
    <w:rsid w:val="00EB193F"/>
    <w:rsid w:val="00EB1A0E"/>
    <w:rsid w:val="00EB1AF5"/>
    <w:rsid w:val="00EB2031"/>
    <w:rsid w:val="00EB28D5"/>
    <w:rsid w:val="00EB2C0D"/>
    <w:rsid w:val="00EB349B"/>
    <w:rsid w:val="00EB3A10"/>
    <w:rsid w:val="00EB5E0E"/>
    <w:rsid w:val="00EB7505"/>
    <w:rsid w:val="00EB7ADF"/>
    <w:rsid w:val="00EC071E"/>
    <w:rsid w:val="00EC0866"/>
    <w:rsid w:val="00EC1455"/>
    <w:rsid w:val="00EC146D"/>
    <w:rsid w:val="00EC1784"/>
    <w:rsid w:val="00EC2DBB"/>
    <w:rsid w:val="00EC370E"/>
    <w:rsid w:val="00EC474D"/>
    <w:rsid w:val="00EC6169"/>
    <w:rsid w:val="00EC65A1"/>
    <w:rsid w:val="00EC6CD1"/>
    <w:rsid w:val="00EC6FC2"/>
    <w:rsid w:val="00EC7159"/>
    <w:rsid w:val="00EC7194"/>
    <w:rsid w:val="00EC7707"/>
    <w:rsid w:val="00ED02F8"/>
    <w:rsid w:val="00ED0A49"/>
    <w:rsid w:val="00ED0CF8"/>
    <w:rsid w:val="00ED1278"/>
    <w:rsid w:val="00ED168D"/>
    <w:rsid w:val="00ED1967"/>
    <w:rsid w:val="00ED1A96"/>
    <w:rsid w:val="00ED2778"/>
    <w:rsid w:val="00ED35E7"/>
    <w:rsid w:val="00ED4313"/>
    <w:rsid w:val="00ED4C33"/>
    <w:rsid w:val="00ED4F52"/>
    <w:rsid w:val="00ED5EE8"/>
    <w:rsid w:val="00ED76F0"/>
    <w:rsid w:val="00ED7AC4"/>
    <w:rsid w:val="00ED7BF9"/>
    <w:rsid w:val="00EE025D"/>
    <w:rsid w:val="00EE142C"/>
    <w:rsid w:val="00EE1711"/>
    <w:rsid w:val="00EE2134"/>
    <w:rsid w:val="00EE215A"/>
    <w:rsid w:val="00EE3145"/>
    <w:rsid w:val="00EE33DD"/>
    <w:rsid w:val="00EE38A8"/>
    <w:rsid w:val="00EE4488"/>
    <w:rsid w:val="00EE4539"/>
    <w:rsid w:val="00EE5806"/>
    <w:rsid w:val="00EE5F65"/>
    <w:rsid w:val="00EE6691"/>
    <w:rsid w:val="00EE6E24"/>
    <w:rsid w:val="00EF0E0C"/>
    <w:rsid w:val="00EF0F19"/>
    <w:rsid w:val="00EF0FD3"/>
    <w:rsid w:val="00EF1088"/>
    <w:rsid w:val="00EF1250"/>
    <w:rsid w:val="00EF1437"/>
    <w:rsid w:val="00EF16B0"/>
    <w:rsid w:val="00EF2086"/>
    <w:rsid w:val="00EF22FA"/>
    <w:rsid w:val="00EF2426"/>
    <w:rsid w:val="00EF4C79"/>
    <w:rsid w:val="00EF5251"/>
    <w:rsid w:val="00EF5A28"/>
    <w:rsid w:val="00EF5A64"/>
    <w:rsid w:val="00EF5C1B"/>
    <w:rsid w:val="00F002AF"/>
    <w:rsid w:val="00F0048D"/>
    <w:rsid w:val="00F006E2"/>
    <w:rsid w:val="00F021CB"/>
    <w:rsid w:val="00F02DEE"/>
    <w:rsid w:val="00F02F6A"/>
    <w:rsid w:val="00F03E22"/>
    <w:rsid w:val="00F04141"/>
    <w:rsid w:val="00F049AA"/>
    <w:rsid w:val="00F04FE7"/>
    <w:rsid w:val="00F06279"/>
    <w:rsid w:val="00F06A3E"/>
    <w:rsid w:val="00F06C76"/>
    <w:rsid w:val="00F07735"/>
    <w:rsid w:val="00F07C18"/>
    <w:rsid w:val="00F10259"/>
    <w:rsid w:val="00F10B87"/>
    <w:rsid w:val="00F119CB"/>
    <w:rsid w:val="00F128B9"/>
    <w:rsid w:val="00F12AAD"/>
    <w:rsid w:val="00F12E3F"/>
    <w:rsid w:val="00F14D2C"/>
    <w:rsid w:val="00F162F0"/>
    <w:rsid w:val="00F168D0"/>
    <w:rsid w:val="00F1695D"/>
    <w:rsid w:val="00F16BFF"/>
    <w:rsid w:val="00F204D1"/>
    <w:rsid w:val="00F20752"/>
    <w:rsid w:val="00F212E3"/>
    <w:rsid w:val="00F213F1"/>
    <w:rsid w:val="00F214E0"/>
    <w:rsid w:val="00F223CC"/>
    <w:rsid w:val="00F22D43"/>
    <w:rsid w:val="00F23158"/>
    <w:rsid w:val="00F237F1"/>
    <w:rsid w:val="00F23F55"/>
    <w:rsid w:val="00F251D1"/>
    <w:rsid w:val="00F255A6"/>
    <w:rsid w:val="00F25C5A"/>
    <w:rsid w:val="00F274BB"/>
    <w:rsid w:val="00F27BD5"/>
    <w:rsid w:val="00F308ED"/>
    <w:rsid w:val="00F31342"/>
    <w:rsid w:val="00F31397"/>
    <w:rsid w:val="00F318F7"/>
    <w:rsid w:val="00F33D54"/>
    <w:rsid w:val="00F34EE7"/>
    <w:rsid w:val="00F35020"/>
    <w:rsid w:val="00F354EA"/>
    <w:rsid w:val="00F36035"/>
    <w:rsid w:val="00F3631B"/>
    <w:rsid w:val="00F36A56"/>
    <w:rsid w:val="00F37CDA"/>
    <w:rsid w:val="00F37E8C"/>
    <w:rsid w:val="00F401E5"/>
    <w:rsid w:val="00F40870"/>
    <w:rsid w:val="00F413DD"/>
    <w:rsid w:val="00F4333C"/>
    <w:rsid w:val="00F43800"/>
    <w:rsid w:val="00F43AEB"/>
    <w:rsid w:val="00F43E2B"/>
    <w:rsid w:val="00F45D1A"/>
    <w:rsid w:val="00F4623A"/>
    <w:rsid w:val="00F463D0"/>
    <w:rsid w:val="00F46602"/>
    <w:rsid w:val="00F5030B"/>
    <w:rsid w:val="00F50D3C"/>
    <w:rsid w:val="00F51080"/>
    <w:rsid w:val="00F5167F"/>
    <w:rsid w:val="00F523B3"/>
    <w:rsid w:val="00F52E34"/>
    <w:rsid w:val="00F53496"/>
    <w:rsid w:val="00F53E5A"/>
    <w:rsid w:val="00F53FEE"/>
    <w:rsid w:val="00F5497F"/>
    <w:rsid w:val="00F549AE"/>
    <w:rsid w:val="00F54FE1"/>
    <w:rsid w:val="00F550AF"/>
    <w:rsid w:val="00F55589"/>
    <w:rsid w:val="00F55693"/>
    <w:rsid w:val="00F563DD"/>
    <w:rsid w:val="00F5663D"/>
    <w:rsid w:val="00F56884"/>
    <w:rsid w:val="00F56D0D"/>
    <w:rsid w:val="00F573E4"/>
    <w:rsid w:val="00F5778F"/>
    <w:rsid w:val="00F60BA7"/>
    <w:rsid w:val="00F61360"/>
    <w:rsid w:val="00F616F0"/>
    <w:rsid w:val="00F6288F"/>
    <w:rsid w:val="00F63E90"/>
    <w:rsid w:val="00F64160"/>
    <w:rsid w:val="00F644B9"/>
    <w:rsid w:val="00F6548D"/>
    <w:rsid w:val="00F660B3"/>
    <w:rsid w:val="00F6704F"/>
    <w:rsid w:val="00F67143"/>
    <w:rsid w:val="00F676FF"/>
    <w:rsid w:val="00F6793E"/>
    <w:rsid w:val="00F67982"/>
    <w:rsid w:val="00F70357"/>
    <w:rsid w:val="00F704B7"/>
    <w:rsid w:val="00F705F9"/>
    <w:rsid w:val="00F717BC"/>
    <w:rsid w:val="00F71AF4"/>
    <w:rsid w:val="00F72636"/>
    <w:rsid w:val="00F72DAA"/>
    <w:rsid w:val="00F73D76"/>
    <w:rsid w:val="00F73E3F"/>
    <w:rsid w:val="00F73EDD"/>
    <w:rsid w:val="00F746CD"/>
    <w:rsid w:val="00F75BF0"/>
    <w:rsid w:val="00F7741A"/>
    <w:rsid w:val="00F80BBD"/>
    <w:rsid w:val="00F8196B"/>
    <w:rsid w:val="00F825FC"/>
    <w:rsid w:val="00F82798"/>
    <w:rsid w:val="00F82ADC"/>
    <w:rsid w:val="00F82C1A"/>
    <w:rsid w:val="00F82F4D"/>
    <w:rsid w:val="00F83505"/>
    <w:rsid w:val="00F8414A"/>
    <w:rsid w:val="00F846A1"/>
    <w:rsid w:val="00F8470D"/>
    <w:rsid w:val="00F857A6"/>
    <w:rsid w:val="00F927A2"/>
    <w:rsid w:val="00F931E0"/>
    <w:rsid w:val="00F93433"/>
    <w:rsid w:val="00F94094"/>
    <w:rsid w:val="00F942B1"/>
    <w:rsid w:val="00F94611"/>
    <w:rsid w:val="00F94FCB"/>
    <w:rsid w:val="00F95D71"/>
    <w:rsid w:val="00F96338"/>
    <w:rsid w:val="00F970D6"/>
    <w:rsid w:val="00F97D04"/>
    <w:rsid w:val="00FA003B"/>
    <w:rsid w:val="00FA02FD"/>
    <w:rsid w:val="00FA0525"/>
    <w:rsid w:val="00FA1912"/>
    <w:rsid w:val="00FA1957"/>
    <w:rsid w:val="00FA23E2"/>
    <w:rsid w:val="00FA2F3C"/>
    <w:rsid w:val="00FA41AB"/>
    <w:rsid w:val="00FA46F5"/>
    <w:rsid w:val="00FA49D4"/>
    <w:rsid w:val="00FA4EA1"/>
    <w:rsid w:val="00FA587E"/>
    <w:rsid w:val="00FA58A8"/>
    <w:rsid w:val="00FA5AB5"/>
    <w:rsid w:val="00FA5DE8"/>
    <w:rsid w:val="00FA6A49"/>
    <w:rsid w:val="00FA6EB4"/>
    <w:rsid w:val="00FA6F36"/>
    <w:rsid w:val="00FA75FD"/>
    <w:rsid w:val="00FA7C6E"/>
    <w:rsid w:val="00FB0629"/>
    <w:rsid w:val="00FB198F"/>
    <w:rsid w:val="00FB1C0A"/>
    <w:rsid w:val="00FB33FF"/>
    <w:rsid w:val="00FB399A"/>
    <w:rsid w:val="00FB44B5"/>
    <w:rsid w:val="00FB4BFC"/>
    <w:rsid w:val="00FB54E7"/>
    <w:rsid w:val="00FB56D9"/>
    <w:rsid w:val="00FB6850"/>
    <w:rsid w:val="00FB7245"/>
    <w:rsid w:val="00FB7ACA"/>
    <w:rsid w:val="00FC0168"/>
    <w:rsid w:val="00FC03C8"/>
    <w:rsid w:val="00FC1EA3"/>
    <w:rsid w:val="00FC1F9A"/>
    <w:rsid w:val="00FC204B"/>
    <w:rsid w:val="00FC2E1E"/>
    <w:rsid w:val="00FC3549"/>
    <w:rsid w:val="00FC396A"/>
    <w:rsid w:val="00FC3D51"/>
    <w:rsid w:val="00FC41A8"/>
    <w:rsid w:val="00FC4D01"/>
    <w:rsid w:val="00FC545D"/>
    <w:rsid w:val="00FC5795"/>
    <w:rsid w:val="00FC67A5"/>
    <w:rsid w:val="00FC6E87"/>
    <w:rsid w:val="00FC713A"/>
    <w:rsid w:val="00FC72E6"/>
    <w:rsid w:val="00FD1C4B"/>
    <w:rsid w:val="00FD22FA"/>
    <w:rsid w:val="00FD2662"/>
    <w:rsid w:val="00FD2F78"/>
    <w:rsid w:val="00FD3D8E"/>
    <w:rsid w:val="00FD45B6"/>
    <w:rsid w:val="00FD46F0"/>
    <w:rsid w:val="00FD4E67"/>
    <w:rsid w:val="00FD52C3"/>
    <w:rsid w:val="00FD5B38"/>
    <w:rsid w:val="00FD65B6"/>
    <w:rsid w:val="00FD710D"/>
    <w:rsid w:val="00FD7374"/>
    <w:rsid w:val="00FE0B44"/>
    <w:rsid w:val="00FE1D5F"/>
    <w:rsid w:val="00FE2F2C"/>
    <w:rsid w:val="00FE312E"/>
    <w:rsid w:val="00FE34EC"/>
    <w:rsid w:val="00FE3572"/>
    <w:rsid w:val="00FE3774"/>
    <w:rsid w:val="00FE4E83"/>
    <w:rsid w:val="00FE50C4"/>
    <w:rsid w:val="00FE51CA"/>
    <w:rsid w:val="00FE607B"/>
    <w:rsid w:val="00FE6944"/>
    <w:rsid w:val="00FE7384"/>
    <w:rsid w:val="00FE7545"/>
    <w:rsid w:val="00FE769E"/>
    <w:rsid w:val="00FE76EE"/>
    <w:rsid w:val="00FF1DE0"/>
    <w:rsid w:val="00FF21AA"/>
    <w:rsid w:val="00FF3305"/>
    <w:rsid w:val="00FF3A09"/>
    <w:rsid w:val="00FF3A9C"/>
    <w:rsid w:val="00FF48A3"/>
    <w:rsid w:val="00FF573E"/>
    <w:rsid w:val="00FF5FAA"/>
    <w:rsid w:val="00FF71C5"/>
    <w:rsid w:val="00FF7511"/>
    <w:rsid w:val="00FF7D97"/>
    <w:rsid w:val="014F2474"/>
    <w:rsid w:val="05241976"/>
    <w:rsid w:val="06A90DF7"/>
    <w:rsid w:val="0A596291"/>
    <w:rsid w:val="15ED11F4"/>
    <w:rsid w:val="16873C82"/>
    <w:rsid w:val="18028372"/>
    <w:rsid w:val="1A4D61F6"/>
    <w:rsid w:val="1E2E7762"/>
    <w:rsid w:val="24665E85"/>
    <w:rsid w:val="2F105EB7"/>
    <w:rsid w:val="30B273E7"/>
    <w:rsid w:val="320E5302"/>
    <w:rsid w:val="350A3065"/>
    <w:rsid w:val="35CFE273"/>
    <w:rsid w:val="36B417CA"/>
    <w:rsid w:val="370905A4"/>
    <w:rsid w:val="405E7F9B"/>
    <w:rsid w:val="423B0B23"/>
    <w:rsid w:val="458E2D89"/>
    <w:rsid w:val="4CBF412D"/>
    <w:rsid w:val="4F226AB9"/>
    <w:rsid w:val="516B2380"/>
    <w:rsid w:val="541657D9"/>
    <w:rsid w:val="564458CB"/>
    <w:rsid w:val="56F44346"/>
    <w:rsid w:val="60B85282"/>
    <w:rsid w:val="6E5740CB"/>
    <w:rsid w:val="72152F6F"/>
    <w:rsid w:val="756628EE"/>
    <w:rsid w:val="77E110F7"/>
    <w:rsid w:val="7DA008BB"/>
    <w:rsid w:val="7DA8556F"/>
    <w:rsid w:val="B7E7F9E9"/>
    <w:rsid w:val="CE3A63A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jc w:val="both"/>
    </w:pPr>
    <w:rPr>
      <w:rFonts w:ascii="思源黑体 CN Regular" w:hAnsi="思源黑体 CN Regular" w:eastAsia="思源黑体 CN Regular" w:cstheme="minorBidi"/>
      <w:kern w:val="2"/>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rFonts w:eastAsia="微软雅黑"/>
      <w:b/>
      <w:bCs/>
      <w:color w:val="F0463C"/>
      <w:kern w:val="44"/>
      <w:sz w:val="44"/>
      <w:szCs w:val="44"/>
    </w:rPr>
  </w:style>
  <w:style w:type="paragraph" w:styleId="3">
    <w:name w:val="heading 2"/>
    <w:basedOn w:val="1"/>
    <w:next w:val="1"/>
    <w:link w:val="26"/>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color w:val="F0463C"/>
      <w:sz w:val="32"/>
      <w:szCs w:val="32"/>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6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color w:val="2E75B5" w:themeColor="accent1" w:themeShade="BF"/>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53"/>
    <w:semiHidden/>
    <w:unhideWhenUsed/>
    <w:qFormat/>
    <w:uiPriority w:val="99"/>
    <w:pPr>
      <w:jc w:val="left"/>
    </w:pPr>
  </w:style>
  <w:style w:type="paragraph" w:styleId="8">
    <w:name w:val="toc 3"/>
    <w:basedOn w:val="1"/>
    <w:next w:val="1"/>
    <w:unhideWhenUsed/>
    <w:qFormat/>
    <w:uiPriority w:val="39"/>
    <w:pPr>
      <w:spacing w:after="100"/>
      <w:ind w:left="420"/>
    </w:pPr>
  </w:style>
  <w:style w:type="paragraph" w:styleId="9">
    <w:name w:val="Balloon Text"/>
    <w:basedOn w:val="1"/>
    <w:link w:val="51"/>
    <w:semiHidden/>
    <w:unhideWhenUsed/>
    <w:qFormat/>
    <w:uiPriority w:val="99"/>
    <w:rPr>
      <w:sz w:val="18"/>
      <w:szCs w:val="18"/>
    </w:rPr>
  </w:style>
  <w:style w:type="paragraph" w:styleId="10">
    <w:name w:val="footer"/>
    <w:basedOn w:val="1"/>
    <w:link w:val="43"/>
    <w:unhideWhenUsed/>
    <w:qFormat/>
    <w:uiPriority w:val="99"/>
    <w:pPr>
      <w:tabs>
        <w:tab w:val="center" w:pos="4153"/>
        <w:tab w:val="right" w:pos="8306"/>
      </w:tabs>
      <w:snapToGrid w:val="0"/>
      <w:jc w:val="left"/>
    </w:pPr>
    <w:rPr>
      <w:sz w:val="18"/>
      <w:szCs w:val="18"/>
    </w:rPr>
  </w:style>
  <w:style w:type="paragraph" w:styleId="11">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left" w:pos="420"/>
        <w:tab w:val="right" w:leader="dot" w:pos="8296"/>
      </w:tabs>
      <w:spacing w:before="240" w:after="120"/>
      <w:jc w:val="left"/>
    </w:pPr>
    <w:rPr>
      <w:b/>
      <w:bCs/>
      <w:sz w:val="24"/>
      <w:szCs w:val="20"/>
    </w:rPr>
  </w:style>
  <w:style w:type="paragraph" w:styleId="13">
    <w:name w:val="footnote text"/>
    <w:basedOn w:val="1"/>
    <w:link w:val="76"/>
    <w:semiHidden/>
    <w:unhideWhenUsed/>
    <w:qFormat/>
    <w:uiPriority w:val="99"/>
    <w:pPr>
      <w:spacing w:line="240" w:lineRule="auto"/>
    </w:pPr>
    <w:rPr>
      <w:szCs w:val="20"/>
    </w:rPr>
  </w:style>
  <w:style w:type="paragraph" w:styleId="14">
    <w:name w:val="toc 2"/>
    <w:basedOn w:val="1"/>
    <w:next w:val="1"/>
    <w:unhideWhenUsed/>
    <w:qFormat/>
    <w:uiPriority w:val="39"/>
    <w:pPr>
      <w:tabs>
        <w:tab w:val="left" w:pos="880"/>
        <w:tab w:val="right" w:leader="dot" w:pos="8296"/>
      </w:tabs>
      <w:spacing w:before="120"/>
      <w:ind w:left="210"/>
      <w:jc w:val="left"/>
    </w:pPr>
    <w:rPr>
      <w:i/>
      <w:iCs/>
      <w:sz w:val="21"/>
      <w:szCs w:val="20"/>
    </w:rPr>
  </w:style>
  <w:style w:type="paragraph" w:styleId="1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7"/>
    <w:next w:val="7"/>
    <w:link w:val="54"/>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FollowedHyperlink"/>
    <w:basedOn w:val="19"/>
    <w:semiHidden/>
    <w:unhideWhenUsed/>
    <w:qFormat/>
    <w:uiPriority w:val="99"/>
    <w:rPr>
      <w:color w:val="954F72" w:themeColor="followedHyperlink"/>
      <w:u w:val="single"/>
    </w:rPr>
  </w:style>
  <w:style w:type="character" w:styleId="22">
    <w:name w:val="Emphasis"/>
    <w:basedOn w:val="19"/>
    <w:qFormat/>
    <w:uiPriority w:val="20"/>
    <w:rPr>
      <w:i/>
      <w:iCs/>
    </w:rPr>
  </w:style>
  <w:style w:type="character" w:styleId="23">
    <w:name w:val="Hyperlink"/>
    <w:basedOn w:val="19"/>
    <w:unhideWhenUsed/>
    <w:qFormat/>
    <w:uiPriority w:val="99"/>
    <w:rPr>
      <w:color w:val="0563C1" w:themeColor="hyperlink"/>
      <w:u w:val="single"/>
    </w:rPr>
  </w:style>
  <w:style w:type="character" w:styleId="24">
    <w:name w:val="annotation reference"/>
    <w:basedOn w:val="19"/>
    <w:semiHidden/>
    <w:unhideWhenUsed/>
    <w:qFormat/>
    <w:uiPriority w:val="99"/>
    <w:rPr>
      <w:sz w:val="21"/>
      <w:szCs w:val="21"/>
    </w:rPr>
  </w:style>
  <w:style w:type="character" w:styleId="25">
    <w:name w:val="footnote reference"/>
    <w:basedOn w:val="19"/>
    <w:semiHidden/>
    <w:unhideWhenUsed/>
    <w:qFormat/>
    <w:uiPriority w:val="99"/>
    <w:rPr>
      <w:vertAlign w:val="superscript"/>
    </w:rPr>
  </w:style>
  <w:style w:type="character" w:customStyle="1" w:styleId="26">
    <w:name w:val="标题 2 Char"/>
    <w:basedOn w:val="19"/>
    <w:link w:val="3"/>
    <w:qFormat/>
    <w:uiPriority w:val="9"/>
    <w:rPr>
      <w:rFonts w:asciiTheme="majorHAnsi" w:hAnsiTheme="majorHAnsi" w:eastAsiaTheme="majorEastAsia" w:cstheme="majorBidi"/>
      <w:b/>
      <w:bCs/>
      <w:color w:val="F0463C"/>
      <w:sz w:val="32"/>
      <w:szCs w:val="32"/>
    </w:rPr>
  </w:style>
  <w:style w:type="paragraph" w:customStyle="1" w:styleId="27">
    <w:name w:val="列出段落11"/>
    <w:basedOn w:val="1"/>
    <w:qFormat/>
    <w:uiPriority w:val="34"/>
    <w:rPr>
      <w:rFonts w:ascii="Times New Roman" w:hAnsi="Times New Roman" w:eastAsia="宋体" w:cs="Times New Roman"/>
      <w:szCs w:val="20"/>
    </w:rPr>
  </w:style>
  <w:style w:type="character" w:customStyle="1" w:styleId="28">
    <w:name w:val="标题 1 Char"/>
    <w:basedOn w:val="19"/>
    <w:link w:val="2"/>
    <w:qFormat/>
    <w:uiPriority w:val="9"/>
    <w:rPr>
      <w:rFonts w:ascii="微软雅黑" w:hAnsi="微软雅黑" w:eastAsia="微软雅黑"/>
      <w:b/>
      <w:bCs/>
      <w:color w:val="F0463C"/>
      <w:kern w:val="44"/>
      <w:sz w:val="44"/>
      <w:szCs w:val="44"/>
    </w:rPr>
  </w:style>
  <w:style w:type="paragraph" w:styleId="29">
    <w:name w:val="List Paragraph"/>
    <w:basedOn w:val="1"/>
    <w:link w:val="35"/>
    <w:qFormat/>
    <w:uiPriority w:val="99"/>
    <w:pPr>
      <w:ind w:firstLine="420" w:firstLineChars="200"/>
    </w:pPr>
  </w:style>
  <w:style w:type="paragraph" w:customStyle="1" w:styleId="30">
    <w:name w:val="普通正文"/>
    <w:basedOn w:val="1"/>
    <w:link w:val="33"/>
    <w:qFormat/>
    <w:uiPriority w:val="0"/>
    <w:pPr>
      <w:spacing w:line="240" w:lineRule="auto"/>
      <w:ind w:firstLine="471"/>
    </w:pPr>
    <w:rPr>
      <w:rFonts w:cs="微软雅黑"/>
      <w:color w:val="000000" w:themeColor="text1"/>
      <w:sz w:val="24"/>
      <w:szCs w:val="21"/>
    </w:rPr>
  </w:style>
  <w:style w:type="paragraph" w:customStyle="1" w:styleId="31">
    <w:name w:val="符号正文"/>
    <w:basedOn w:val="32"/>
    <w:link w:val="36"/>
    <w:qFormat/>
    <w:uiPriority w:val="0"/>
    <w:pPr>
      <w:numPr>
        <w:ilvl w:val="0"/>
        <w:numId w:val="2"/>
      </w:numPr>
      <w:spacing w:line="240" w:lineRule="auto"/>
      <w:ind w:firstLine="0"/>
    </w:pPr>
    <w:rPr>
      <w:rFonts w:eastAsia="微软雅黑" w:cs="微软雅黑"/>
      <w:sz w:val="24"/>
      <w:szCs w:val="21"/>
    </w:rPr>
  </w:style>
  <w:style w:type="paragraph" w:customStyle="1" w:styleId="32">
    <w:name w:val="列表段落1"/>
    <w:basedOn w:val="1"/>
    <w:qFormat/>
    <w:uiPriority w:val="34"/>
    <w:pPr>
      <w:ind w:firstLine="420"/>
    </w:pPr>
  </w:style>
  <w:style w:type="character" w:customStyle="1" w:styleId="33">
    <w:name w:val="普通正文 字符"/>
    <w:basedOn w:val="19"/>
    <w:link w:val="30"/>
    <w:qFormat/>
    <w:uiPriority w:val="0"/>
    <w:rPr>
      <w:rFonts w:ascii="思源黑体 CN Regular" w:hAnsi="思源黑体 CN Regular" w:eastAsia="思源黑体 CN Regular" w:cs="微软雅黑"/>
      <w:color w:val="000000" w:themeColor="text1"/>
      <w:sz w:val="24"/>
      <w:szCs w:val="21"/>
    </w:rPr>
  </w:style>
  <w:style w:type="paragraph" w:customStyle="1" w:styleId="34">
    <w:name w:val="二级标题1"/>
    <w:basedOn w:val="3"/>
    <w:next w:val="30"/>
    <w:link w:val="38"/>
    <w:qFormat/>
    <w:uiPriority w:val="0"/>
    <w:pPr>
      <w:numPr>
        <w:numId w:val="3"/>
      </w:numPr>
      <w:spacing w:line="415" w:lineRule="auto"/>
    </w:pPr>
    <w:rPr>
      <w:rFonts w:ascii="思源黑体 CN Heavy" w:hAnsi="思源黑体 CN Heavy" w:eastAsia="思源黑体 CN Heavy"/>
      <w:color w:val="E6233C"/>
    </w:rPr>
  </w:style>
  <w:style w:type="character" w:customStyle="1" w:styleId="35">
    <w:name w:val="列出段落 Char"/>
    <w:basedOn w:val="19"/>
    <w:link w:val="29"/>
    <w:qFormat/>
    <w:uiPriority w:val="34"/>
  </w:style>
  <w:style w:type="character" w:customStyle="1" w:styleId="36">
    <w:name w:val="符号正文 字符"/>
    <w:basedOn w:val="35"/>
    <w:link w:val="31"/>
    <w:qFormat/>
    <w:uiPriority w:val="0"/>
    <w:rPr>
      <w:rFonts w:ascii="思源黑体 CN Regular" w:hAnsi="思源黑体 CN Regular" w:eastAsia="微软雅黑" w:cs="微软雅黑"/>
      <w:sz w:val="24"/>
      <w:szCs w:val="21"/>
    </w:rPr>
  </w:style>
  <w:style w:type="paragraph" w:customStyle="1" w:styleId="37">
    <w:name w:val="一级标题"/>
    <w:basedOn w:val="2"/>
    <w:link w:val="40"/>
    <w:qFormat/>
    <w:uiPriority w:val="0"/>
    <w:pPr>
      <w:numPr>
        <w:ilvl w:val="0"/>
        <w:numId w:val="3"/>
      </w:numPr>
    </w:pPr>
    <w:rPr>
      <w:rFonts w:ascii="思源黑体 CN Heavy" w:hAnsi="思源黑体 CN Heavy" w:eastAsia="思源黑体 CN Heavy"/>
      <w:color w:val="E6233C"/>
    </w:rPr>
  </w:style>
  <w:style w:type="character" w:customStyle="1" w:styleId="38">
    <w:name w:val="二级标题1 Char"/>
    <w:basedOn w:val="26"/>
    <w:link w:val="34"/>
    <w:qFormat/>
    <w:uiPriority w:val="0"/>
    <w:rPr>
      <w:rFonts w:ascii="思源黑体 CN Heavy" w:hAnsi="思源黑体 CN Heavy" w:eastAsia="思源黑体 CN Heavy" w:cstheme="majorBidi"/>
      <w:color w:val="E6233C"/>
      <w:sz w:val="32"/>
      <w:szCs w:val="32"/>
    </w:rPr>
  </w:style>
  <w:style w:type="paragraph" w:customStyle="1" w:styleId="39">
    <w:name w:val="三级标题"/>
    <w:basedOn w:val="30"/>
    <w:link w:val="41"/>
    <w:qFormat/>
    <w:uiPriority w:val="0"/>
    <w:pPr>
      <w:ind w:firstLine="0"/>
      <w:outlineLvl w:val="2"/>
    </w:pPr>
    <w:rPr>
      <w:b/>
      <w:color w:val="F0463C"/>
    </w:rPr>
  </w:style>
  <w:style w:type="character" w:customStyle="1" w:styleId="40">
    <w:name w:val="一级标题 字符"/>
    <w:basedOn w:val="28"/>
    <w:link w:val="37"/>
    <w:qFormat/>
    <w:uiPriority w:val="0"/>
    <w:rPr>
      <w:rFonts w:ascii="思源黑体 CN Heavy" w:hAnsi="思源黑体 CN Heavy" w:eastAsia="思源黑体 CN Heavy"/>
      <w:color w:val="E6233C"/>
      <w:kern w:val="44"/>
      <w:sz w:val="44"/>
      <w:szCs w:val="44"/>
    </w:rPr>
  </w:style>
  <w:style w:type="character" w:customStyle="1" w:styleId="41">
    <w:name w:val="三级标题 字符"/>
    <w:basedOn w:val="33"/>
    <w:link w:val="39"/>
    <w:qFormat/>
    <w:uiPriority w:val="0"/>
    <w:rPr>
      <w:rFonts w:ascii="微软雅黑" w:hAnsi="微软雅黑" w:eastAsia="微软雅黑" w:cs="微软雅黑"/>
      <w:b/>
      <w:color w:val="F0463C"/>
      <w:sz w:val="24"/>
      <w:szCs w:val="21"/>
    </w:rPr>
  </w:style>
  <w:style w:type="character" w:customStyle="1" w:styleId="42">
    <w:name w:val="页眉 Char"/>
    <w:basedOn w:val="19"/>
    <w:link w:val="11"/>
    <w:qFormat/>
    <w:uiPriority w:val="99"/>
    <w:rPr>
      <w:sz w:val="18"/>
      <w:szCs w:val="18"/>
    </w:rPr>
  </w:style>
  <w:style w:type="character" w:customStyle="1" w:styleId="43">
    <w:name w:val="页脚 Char"/>
    <w:basedOn w:val="19"/>
    <w:link w:val="10"/>
    <w:qFormat/>
    <w:uiPriority w:val="99"/>
    <w:rPr>
      <w:sz w:val="18"/>
      <w:szCs w:val="18"/>
    </w:rPr>
  </w:style>
  <w:style w:type="paragraph" w:customStyle="1" w:styleId="44">
    <w:name w:val="三级标题1"/>
    <w:basedOn w:val="39"/>
    <w:link w:val="45"/>
    <w:qFormat/>
    <w:uiPriority w:val="0"/>
    <w:pPr>
      <w:numPr>
        <w:ilvl w:val="2"/>
        <w:numId w:val="4"/>
      </w:numPr>
    </w:pPr>
  </w:style>
  <w:style w:type="character" w:customStyle="1" w:styleId="45">
    <w:name w:val="三级标题1 字符"/>
    <w:basedOn w:val="41"/>
    <w:link w:val="44"/>
    <w:qFormat/>
    <w:uiPriority w:val="0"/>
    <w:rPr>
      <w:rFonts w:ascii="思源黑体 CN Regular" w:hAnsi="思源黑体 CN Regular" w:eastAsia="思源黑体 CN Regular" w:cs="微软雅黑"/>
      <w:color w:val="F0463C"/>
      <w:sz w:val="24"/>
      <w:szCs w:val="21"/>
    </w:rPr>
  </w:style>
  <w:style w:type="paragraph" w:customStyle="1" w:styleId="46">
    <w:name w:val="1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7">
    <w:name w:val="inline-comment-marker"/>
    <w:basedOn w:val="19"/>
    <w:qFormat/>
    <w:uiPriority w:val="0"/>
  </w:style>
  <w:style w:type="paragraph" w:customStyle="1" w:styleId="48">
    <w:name w:val="规则"/>
    <w:basedOn w:val="30"/>
    <w:link w:val="50"/>
    <w:qFormat/>
    <w:uiPriority w:val="0"/>
    <w:pPr>
      <w:numPr>
        <w:ilvl w:val="0"/>
        <w:numId w:val="5"/>
      </w:numPr>
    </w:pPr>
    <w:rPr>
      <w:rFonts w:cs="Arial"/>
    </w:rPr>
  </w:style>
  <w:style w:type="paragraph" w:customStyle="1" w:styleId="49">
    <w:name w:val="技术规范"/>
    <w:basedOn w:val="1"/>
    <w:link w:val="65"/>
    <w:qFormat/>
    <w:uiPriority w:val="0"/>
    <w:pPr>
      <w:numPr>
        <w:ilvl w:val="0"/>
        <w:numId w:val="6"/>
      </w:numPr>
      <w:spacing w:line="240" w:lineRule="auto"/>
    </w:pPr>
    <w:rPr>
      <w:rFonts w:cs="微软雅黑"/>
      <w:sz w:val="24"/>
      <w:szCs w:val="21"/>
      <w:lang w:val="en-GB"/>
    </w:rPr>
  </w:style>
  <w:style w:type="character" w:customStyle="1" w:styleId="50">
    <w:name w:val="规则 Char1"/>
    <w:basedOn w:val="19"/>
    <w:link w:val="48"/>
    <w:qFormat/>
    <w:uiPriority w:val="0"/>
    <w:rPr>
      <w:rFonts w:ascii="思源黑体 CN Regular" w:hAnsi="思源黑体 CN Regular" w:eastAsia="思源黑体 CN Regular" w:cs="Arial"/>
      <w:sz w:val="24"/>
      <w:szCs w:val="21"/>
      <w:lang w:val="en-GB"/>
    </w:rPr>
  </w:style>
  <w:style w:type="character" w:customStyle="1" w:styleId="51">
    <w:name w:val="批注框文本 Char"/>
    <w:basedOn w:val="19"/>
    <w:link w:val="9"/>
    <w:semiHidden/>
    <w:qFormat/>
    <w:uiPriority w:val="99"/>
    <w:rPr>
      <w:sz w:val="18"/>
      <w:szCs w:val="18"/>
    </w:rPr>
  </w:style>
  <w:style w:type="character" w:customStyle="1" w:styleId="52">
    <w:name w:val="不明显强调1"/>
    <w:basedOn w:val="19"/>
    <w:qFormat/>
    <w:uiPriority w:val="19"/>
    <w:rPr>
      <w:i/>
      <w:iCs/>
      <w:color w:val="3F3F3F" w:themeColor="text1" w:themeTint="BF"/>
    </w:rPr>
  </w:style>
  <w:style w:type="character" w:customStyle="1" w:styleId="53">
    <w:name w:val="批注文字 Char"/>
    <w:basedOn w:val="19"/>
    <w:link w:val="7"/>
    <w:semiHidden/>
    <w:qFormat/>
    <w:uiPriority w:val="99"/>
  </w:style>
  <w:style w:type="character" w:customStyle="1" w:styleId="54">
    <w:name w:val="批注主题 Char"/>
    <w:basedOn w:val="53"/>
    <w:link w:val="16"/>
    <w:semiHidden/>
    <w:qFormat/>
    <w:uiPriority w:val="99"/>
    <w:rPr>
      <w:b/>
      <w:bCs/>
    </w:rPr>
  </w:style>
  <w:style w:type="paragraph" w:customStyle="1" w:styleId="55">
    <w:name w:val="任务"/>
    <w:basedOn w:val="49"/>
    <w:link w:val="56"/>
    <w:qFormat/>
    <w:uiPriority w:val="0"/>
    <w:pPr>
      <w:numPr>
        <w:ilvl w:val="0"/>
        <w:numId w:val="7"/>
      </w:numPr>
    </w:pPr>
    <w:rPr>
      <w:rFonts w:ascii="思源黑体 CN Heavy" w:hAnsi="思源黑体 CN Heavy" w:eastAsia="思源黑体 CN Heavy"/>
      <w:b/>
    </w:rPr>
  </w:style>
  <w:style w:type="character" w:customStyle="1" w:styleId="56">
    <w:name w:val="任务 Char"/>
    <w:basedOn w:val="19"/>
    <w:link w:val="55"/>
    <w:qFormat/>
    <w:uiPriority w:val="0"/>
    <w:rPr>
      <w:rFonts w:ascii="思源黑体 CN Heavy" w:hAnsi="思源黑体 CN Heavy" w:eastAsia="思源黑体 CN Heavy" w:cs="微软雅黑"/>
      <w:b/>
      <w:sz w:val="24"/>
      <w:szCs w:val="21"/>
      <w:lang w:val="en-GB"/>
    </w:rPr>
  </w:style>
  <w:style w:type="paragraph" w:customStyle="1" w:styleId="57">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58">
    <w:name w:val="标题 3 Char"/>
    <w:basedOn w:val="19"/>
    <w:link w:val="4"/>
    <w:semiHidden/>
    <w:qFormat/>
    <w:uiPriority w:val="9"/>
    <w:rPr>
      <w:rFonts w:asciiTheme="majorHAnsi" w:hAnsiTheme="majorHAnsi" w:eastAsiaTheme="majorEastAsia" w:cstheme="majorBidi"/>
      <w:color w:val="1F4E79" w:themeColor="accent1" w:themeShade="80"/>
      <w:sz w:val="24"/>
      <w:szCs w:val="24"/>
    </w:rPr>
  </w:style>
  <w:style w:type="character" w:customStyle="1" w:styleId="59">
    <w:name w:val="标题 5 Char"/>
    <w:basedOn w:val="19"/>
    <w:link w:val="6"/>
    <w:semiHidden/>
    <w:qFormat/>
    <w:uiPriority w:val="9"/>
    <w:rPr>
      <w:rFonts w:asciiTheme="majorHAnsi" w:hAnsiTheme="majorHAnsi" w:eastAsiaTheme="majorEastAsia" w:cstheme="majorBidi"/>
      <w:color w:val="2E75B5" w:themeColor="accent1" w:themeShade="BF"/>
    </w:rPr>
  </w:style>
  <w:style w:type="paragraph" w:customStyle="1" w:styleId="60">
    <w:name w:val="a"/>
    <w:basedOn w:val="1"/>
    <w:qFormat/>
    <w:uiPriority w:val="0"/>
    <w:pPr>
      <w:widowControl/>
      <w:spacing w:before="100" w:beforeAutospacing="1" w:after="100" w:afterAutospacing="1"/>
      <w:jc w:val="left"/>
    </w:pPr>
    <w:rPr>
      <w:rFonts w:ascii="Times New Roman" w:hAnsi="Times New Roman" w:cs="Times New Roman"/>
      <w:kern w:val="0"/>
      <w:sz w:val="24"/>
      <w:szCs w:val="24"/>
      <w:lang w:val="en-GB"/>
    </w:rPr>
  </w:style>
  <w:style w:type="character" w:customStyle="1" w:styleId="61">
    <w:name w:val="ql-author-14022863"/>
    <w:basedOn w:val="19"/>
    <w:qFormat/>
    <w:uiPriority w:val="0"/>
  </w:style>
  <w:style w:type="character" w:customStyle="1" w:styleId="62">
    <w:name w:val="ql-author-13496091"/>
    <w:basedOn w:val="19"/>
    <w:qFormat/>
    <w:uiPriority w:val="0"/>
  </w:style>
  <w:style w:type="character" w:customStyle="1" w:styleId="63">
    <w:name w:val="ql-author-15805597"/>
    <w:basedOn w:val="19"/>
    <w:qFormat/>
    <w:uiPriority w:val="0"/>
  </w:style>
  <w:style w:type="paragraph" w:styleId="64">
    <w:name w:val="No Spacing"/>
    <w:basedOn w:val="44"/>
    <w:qFormat/>
    <w:uiPriority w:val="1"/>
    <w:pPr>
      <w:numPr>
        <w:ilvl w:val="0"/>
        <w:numId w:val="0"/>
      </w:numPr>
    </w:pPr>
    <w:rPr>
      <w:rFonts w:ascii="思源黑体 CN Heavy" w:hAnsi="思源黑体 CN Heavy" w:eastAsia="思源黑体 CN Heavy"/>
      <w:color w:val="2E75B5" w:themeColor="accent1" w:themeShade="BF"/>
    </w:rPr>
  </w:style>
  <w:style w:type="character" w:customStyle="1" w:styleId="65">
    <w:name w:val="技术规范 Char"/>
    <w:basedOn w:val="19"/>
    <w:link w:val="49"/>
    <w:qFormat/>
    <w:uiPriority w:val="0"/>
    <w:rPr>
      <w:rFonts w:ascii="思源黑体 CN Regular" w:hAnsi="思源黑体 CN Regular" w:eastAsia="思源黑体 CN Regular" w:cs="微软雅黑"/>
      <w:sz w:val="24"/>
      <w:szCs w:val="21"/>
      <w:lang w:val="en-GB"/>
    </w:rPr>
  </w:style>
  <w:style w:type="character" w:customStyle="1" w:styleId="66">
    <w:name w:val="标题 4 Char"/>
    <w:basedOn w:val="19"/>
    <w:link w:val="5"/>
    <w:semiHidden/>
    <w:qFormat/>
    <w:uiPriority w:val="9"/>
    <w:rPr>
      <w:rFonts w:asciiTheme="majorHAnsi" w:hAnsiTheme="majorHAnsi" w:eastAsiaTheme="majorEastAsia" w:cstheme="majorBidi"/>
      <w:b/>
      <w:bCs/>
      <w:sz w:val="28"/>
      <w:szCs w:val="28"/>
    </w:rPr>
  </w:style>
  <w:style w:type="character" w:customStyle="1" w:styleId="67">
    <w:name w:val="解释 Char"/>
    <w:basedOn w:val="36"/>
    <w:link w:val="68"/>
    <w:qFormat/>
    <w:uiPriority w:val="0"/>
    <w:rPr>
      <w:rFonts w:ascii="微软雅黑" w:hAnsi="微软雅黑" w:eastAsia="微软雅黑" w:cs="微软雅黑"/>
      <w:sz w:val="24"/>
      <w:szCs w:val="21"/>
    </w:rPr>
  </w:style>
  <w:style w:type="paragraph" w:customStyle="1" w:styleId="68">
    <w:name w:val="解释"/>
    <w:basedOn w:val="31"/>
    <w:link w:val="67"/>
    <w:qFormat/>
    <w:uiPriority w:val="0"/>
    <w:pPr>
      <w:numPr>
        <w:numId w:val="0"/>
      </w:numPr>
      <w:ind w:left="1271" w:hanging="420"/>
    </w:pPr>
    <w:rPr>
      <w:rFonts w:ascii="微软雅黑" w:hAnsi="微软雅黑"/>
    </w:rPr>
  </w:style>
  <w:style w:type="character" w:customStyle="1" w:styleId="69">
    <w:name w:val="规则 Char"/>
    <w:basedOn w:val="33"/>
    <w:qFormat/>
    <w:uiPriority w:val="0"/>
    <w:rPr>
      <w:rFonts w:ascii="微软雅黑" w:hAnsi="微软雅黑" w:eastAsia="微软雅黑" w:cs="微软雅黑"/>
      <w:color w:val="000000" w:themeColor="text1"/>
      <w:sz w:val="24"/>
      <w:szCs w:val="21"/>
    </w:rPr>
  </w:style>
  <w:style w:type="paragraph" w:customStyle="1" w:styleId="70">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71">
    <w:name w:val="网格表 5 深色 - 着色 51"/>
    <w:basedOn w:val="17"/>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CCE8CF" w:themeColor="background1"/>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4472C4" w:themeFill="accent5"/>
      </w:tcPr>
    </w:tblStylePr>
    <w:tblStylePr w:type="lastRow">
      <w:rPr>
        <w:b/>
        <w:bCs/>
        <w:color w:val="CCE8CF" w:themeColor="background1"/>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4472C4" w:themeFill="accent5"/>
      </w:tcPr>
    </w:tblStylePr>
    <w:tblStylePr w:type="firstCol">
      <w:rPr>
        <w:b/>
        <w:bCs/>
        <w:color w:val="CCE8CF" w:themeColor="background1"/>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4472C4" w:themeFill="accent5"/>
      </w:tcPr>
    </w:tblStylePr>
    <w:tblStylePr w:type="lastCol">
      <w:rPr>
        <w:b/>
        <w:bCs/>
        <w:color w:val="CCE8CF" w:themeColor="background1"/>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72">
    <w:name w:val="无格式表格 31"/>
    <w:basedOn w:val="17"/>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BCE1C0" w:themeFill="background1" w:themeFillShade="F2"/>
      </w:tcPr>
    </w:tblStylePr>
    <w:tblStylePr w:type="band1Horz">
      <w:tcPr>
        <w:shd w:val="clear" w:color="auto" w:fill="BCE1C0" w:themeFill="background1" w:themeFillShade="F2"/>
      </w:tcPr>
    </w:tblStylePr>
    <w:tblStylePr w:type="neCell">
      <w:tcPr>
        <w:tcBorders>
          <w:left w:val="nil"/>
        </w:tcBorders>
      </w:tcPr>
    </w:tblStylePr>
    <w:tblStylePr w:type="nwCell">
      <w:tcPr>
        <w:tcBorders>
          <w:right w:val="nil"/>
        </w:tcBorders>
      </w:tcPr>
    </w:tblStylePr>
  </w:style>
  <w:style w:type="table" w:customStyle="1" w:styleId="73">
    <w:name w:val="清单表 7 彩色 - 着色 21"/>
    <w:basedOn w:val="17"/>
    <w:qFormat/>
    <w:uiPriority w:val="52"/>
    <w:rPr>
      <w:color w:val="C559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CCE8C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CCE8C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CCE8C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CCE8C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74">
    <w:name w:val="标题1"/>
    <w:basedOn w:val="1"/>
    <w:link w:val="75"/>
    <w:qFormat/>
    <w:uiPriority w:val="0"/>
    <w:pPr>
      <w:spacing w:line="240" w:lineRule="auto"/>
      <w:jc w:val="center"/>
    </w:pPr>
    <w:rPr>
      <w:b/>
      <w:sz w:val="52"/>
      <w:szCs w:val="44"/>
    </w:rPr>
  </w:style>
  <w:style w:type="character" w:customStyle="1" w:styleId="75">
    <w:name w:val="标题 Char"/>
    <w:basedOn w:val="19"/>
    <w:link w:val="74"/>
    <w:qFormat/>
    <w:uiPriority w:val="0"/>
    <w:rPr>
      <w:rFonts w:ascii="思源黑体 CN Regular" w:hAnsi="思源黑体 CN Regular" w:eastAsia="思源黑体 CN Regular"/>
      <w:b/>
      <w:sz w:val="52"/>
      <w:szCs w:val="44"/>
    </w:rPr>
  </w:style>
  <w:style w:type="character" w:customStyle="1" w:styleId="76">
    <w:name w:val="脚注文本 Char"/>
    <w:basedOn w:val="19"/>
    <w:link w:val="13"/>
    <w:semiHidden/>
    <w:qFormat/>
    <w:uiPriority w:val="99"/>
    <w:rPr>
      <w:rFonts w:ascii="思源黑体 CN Regular" w:hAnsi="思源黑体 CN Regular"/>
      <w:sz w:val="20"/>
      <w:szCs w:val="20"/>
    </w:rPr>
  </w:style>
  <w:style w:type="character" w:customStyle="1" w:styleId="77">
    <w:name w:val="未处理的提及1"/>
    <w:basedOn w:val="19"/>
    <w:semiHidden/>
    <w:unhideWhenUsed/>
    <w:qFormat/>
    <w:uiPriority w:val="99"/>
    <w:rPr>
      <w:color w:val="605E5C"/>
      <w:shd w:val="clear" w:color="auto" w:fill="E1DFDD"/>
    </w:rPr>
  </w:style>
  <w:style w:type="character" w:customStyle="1" w:styleId="78">
    <w:name w:val="三级标题1 Char"/>
    <w:basedOn w:val="41"/>
    <w:qFormat/>
    <w:uiPriority w:val="0"/>
    <w:rPr>
      <w:rFonts w:ascii="思源黑体 CN Regular" w:hAnsi="思源黑体 CN Regular" w:eastAsia="思源黑体 CN Heavy" w:cs="微软雅黑"/>
      <w:color w:val="2E75B5" w:themeColor="accent1" w:themeShade="BF"/>
      <w:sz w:val="24"/>
      <w:szCs w:val="21"/>
    </w:rPr>
  </w:style>
  <w:style w:type="paragraph" w:customStyle="1" w:styleId="79">
    <w:name w:val="目录"/>
    <w:basedOn w:val="1"/>
    <w:link w:val="81"/>
    <w:qFormat/>
    <w:uiPriority w:val="0"/>
    <w:pPr>
      <w:widowControl/>
      <w:spacing w:line="240" w:lineRule="auto"/>
      <w:jc w:val="center"/>
    </w:pPr>
    <w:rPr>
      <w:rFonts w:ascii="思源黑体 CN Heavy" w:hAnsi="思源黑体 CN Heavy" w:eastAsia="思源黑体 CN Heavy" w:cs="微软雅黑"/>
      <w:b/>
      <w:color w:val="E6233C"/>
      <w:sz w:val="44"/>
      <w:szCs w:val="44"/>
    </w:rPr>
  </w:style>
  <w:style w:type="paragraph" w:customStyle="1" w:styleId="80">
    <w:name w:val="一级 标题"/>
    <w:basedOn w:val="37"/>
    <w:link w:val="83"/>
    <w:qFormat/>
    <w:uiPriority w:val="0"/>
  </w:style>
  <w:style w:type="character" w:customStyle="1" w:styleId="81">
    <w:name w:val="目录 Char"/>
    <w:basedOn w:val="19"/>
    <w:link w:val="79"/>
    <w:qFormat/>
    <w:uiPriority w:val="0"/>
    <w:rPr>
      <w:rFonts w:ascii="思源黑体 CN Heavy" w:hAnsi="思源黑体 CN Heavy" w:eastAsia="思源黑体 CN Heavy" w:cs="微软雅黑"/>
      <w:b/>
      <w:color w:val="E6233C"/>
      <w:sz w:val="44"/>
      <w:szCs w:val="44"/>
    </w:rPr>
  </w:style>
  <w:style w:type="paragraph" w:customStyle="1" w:styleId="82">
    <w:name w:val="二级 标题"/>
    <w:basedOn w:val="34"/>
    <w:link w:val="84"/>
    <w:qFormat/>
    <w:uiPriority w:val="0"/>
  </w:style>
  <w:style w:type="character" w:customStyle="1" w:styleId="83">
    <w:name w:val="一级 标题 Char"/>
    <w:basedOn w:val="40"/>
    <w:link w:val="80"/>
    <w:qFormat/>
    <w:uiPriority w:val="0"/>
    <w:rPr>
      <w:rFonts w:ascii="思源黑体 CN Heavy" w:hAnsi="思源黑体 CN Heavy" w:eastAsia="思源黑体 CN Heavy"/>
      <w:color w:val="E6233C"/>
      <w:kern w:val="44"/>
      <w:sz w:val="44"/>
      <w:szCs w:val="44"/>
    </w:rPr>
  </w:style>
  <w:style w:type="character" w:customStyle="1" w:styleId="84">
    <w:name w:val="二级 标题 Char"/>
    <w:basedOn w:val="38"/>
    <w:link w:val="82"/>
    <w:qFormat/>
    <w:uiPriority w:val="0"/>
    <w:rPr>
      <w:rFonts w:ascii="思源黑体 CN Heavy" w:hAnsi="思源黑体 CN Heavy" w:eastAsia="思源黑体 CN Heavy" w:cstheme="majorBidi"/>
      <w:color w:val="E6233C"/>
      <w:sz w:val="32"/>
      <w:szCs w:val="32"/>
    </w:rPr>
  </w:style>
  <w:style w:type="table" w:customStyle="1" w:styleId="85">
    <w:name w:val="网格表 4 - 着色 31"/>
    <w:basedOn w:val="17"/>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CCE8CF" w:themeColor="background1"/>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86">
    <w:name w:val="网格表 4 - 着色 11"/>
    <w:basedOn w:val="17"/>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CCE8CF" w:themeColor="background1"/>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paragraph" w:customStyle="1" w:styleId="87">
    <w:name w:val="石墨文档正文"/>
    <w:qFormat/>
    <w:uiPriority w:val="0"/>
    <w:pPr>
      <w:spacing w:after="160" w:line="259" w:lineRule="auto"/>
    </w:pPr>
    <w:rPr>
      <w:rFonts w:ascii="微软雅黑" w:hAnsi="微软雅黑" w:eastAsia="微软雅黑" w:cs="微软雅黑"/>
      <w:sz w:val="24"/>
      <w:szCs w:val="24"/>
      <w:lang w:val="en-US" w:eastAsia="zh-CN" w:bidi="ar-SA"/>
    </w:rPr>
  </w:style>
  <w:style w:type="table" w:customStyle="1" w:styleId="88">
    <w:name w:val="清单表 3 - 着色 11"/>
    <w:basedOn w:val="17"/>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CCE8CF" w:themeColor="background1"/>
      </w:rPr>
      <w:tcPr>
        <w:shd w:val="clear" w:color="auto" w:fill="5B9BD5" w:themeFill="accent1"/>
      </w:tcPr>
    </w:tblStylePr>
    <w:tblStylePr w:type="lastRow">
      <w:rPr>
        <w:b/>
        <w:bCs/>
      </w:rPr>
      <w:tcPr>
        <w:tcBorders>
          <w:top w:val="double" w:color="5B9BD5" w:themeColor="accent1" w:sz="4" w:space="0"/>
        </w:tcBorders>
        <w:shd w:val="clear" w:color="auto" w:fill="CCE8CF" w:themeFill="background1"/>
      </w:tcPr>
    </w:tblStylePr>
    <w:tblStylePr w:type="firstCol">
      <w:rPr>
        <w:b/>
        <w:bCs/>
      </w:rPr>
      <w:tcPr>
        <w:tcBorders>
          <w:right w:val="nil"/>
        </w:tcBorders>
        <w:shd w:val="clear" w:color="auto" w:fill="CCE8CF" w:themeFill="background1"/>
      </w:tcPr>
    </w:tblStylePr>
    <w:tblStylePr w:type="lastCol">
      <w:rPr>
        <w:b/>
        <w:bCs/>
      </w:rPr>
      <w:tcPr>
        <w:tcBorders>
          <w:left w:val="nil"/>
        </w:tcBorders>
        <w:shd w:val="clear" w:color="auto" w:fill="CCE8C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paragraph" w:customStyle="1" w:styleId="89">
    <w:name w:val="技术"/>
    <w:basedOn w:val="68"/>
    <w:link w:val="90"/>
    <w:qFormat/>
    <w:uiPriority w:val="0"/>
    <w:pPr>
      <w:numPr>
        <w:ilvl w:val="0"/>
        <w:numId w:val="8"/>
      </w:numPr>
    </w:pPr>
  </w:style>
  <w:style w:type="character" w:customStyle="1" w:styleId="90">
    <w:name w:val="技术 Char"/>
    <w:basedOn w:val="67"/>
    <w:link w:val="89"/>
    <w:qFormat/>
    <w:uiPriority w:val="0"/>
    <w:rPr>
      <w:rFonts w:ascii="微软雅黑" w:hAnsi="微软雅黑" w:eastAsia="微软雅黑" w:cs="微软雅黑"/>
      <w:kern w:val="2"/>
      <w:sz w:val="24"/>
      <w:szCs w:val="21"/>
    </w:rPr>
  </w:style>
  <w:style w:type="paragraph" w:customStyle="1" w:styleId="91">
    <w:name w:val="CN规则"/>
    <w:basedOn w:val="48"/>
    <w:link w:val="92"/>
    <w:qFormat/>
    <w:uiPriority w:val="0"/>
    <w:pPr>
      <w:numPr>
        <w:ilvl w:val="0"/>
        <w:numId w:val="9"/>
      </w:numPr>
    </w:pPr>
  </w:style>
  <w:style w:type="character" w:customStyle="1" w:styleId="92">
    <w:name w:val="CN规则 Char"/>
    <w:basedOn w:val="50"/>
    <w:link w:val="91"/>
    <w:qFormat/>
    <w:uiPriority w:val="0"/>
    <w:rPr>
      <w:rFonts w:ascii="思源黑体 CN Regular" w:hAnsi="思源黑体 CN Regular" w:eastAsia="思源黑体 CN Regular" w:cs="Arial"/>
      <w:kern w:val="2"/>
      <w:sz w:val="24"/>
      <w:szCs w:val="21"/>
      <w:lang w:val="en-GB"/>
    </w:rPr>
  </w:style>
  <w:style w:type="paragraph" w:customStyle="1" w:styleId="93">
    <w:name w:val="警告"/>
    <w:basedOn w:val="48"/>
    <w:qFormat/>
    <w:uiPriority w:val="0"/>
    <w:pPr>
      <w:numPr>
        <w:numId w:val="10"/>
      </w:numPr>
      <w:ind w:left="1095"/>
    </w:pPr>
  </w:style>
  <w:style w:type="table" w:customStyle="1" w:styleId="94">
    <w:name w:val="网格型1"/>
    <w:basedOn w:val="1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2.sv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1.sv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1122</Words>
  <Characters>6397</Characters>
  <Lines>53</Lines>
  <Paragraphs>15</Paragraphs>
  <TotalTime>14</TotalTime>
  <ScaleCrop>false</ScaleCrop>
  <LinksUpToDate>false</LinksUpToDate>
  <CharactersWithSpaces>7504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2021-01-19T00:47:00Z</dcterms:created>
  <dc:creator>MakeX组委会</dc:creator>
  <cp:keywords>MakeX组委会</cp:keywords>
  <cp:lastModifiedBy>Rio</cp:lastModifiedBy>
  <cp:lastPrinted>2021-01-20T22:55:00Z</cp:lastPrinted>
  <dcterms:modified xsi:type="dcterms:W3CDTF">2021-02-06T00:22:53Z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